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6F1D" w14:textId="328294B1" w:rsidR="00310A19" w:rsidRDefault="003501B8" w:rsidP="005D6DAA">
      <w:pPr>
        <w:jc w:val="center"/>
        <w:rPr>
          <w:rFonts w:ascii="Arial" w:hAnsi="Arial" w:cs="Arial"/>
          <w:b/>
          <w:sz w:val="32"/>
          <w:szCs w:val="32"/>
        </w:rPr>
      </w:pPr>
      <w:r>
        <w:rPr>
          <w:rFonts w:ascii="Arial" w:hAnsi="Arial" w:cs="Arial"/>
          <w:b/>
          <w:sz w:val="32"/>
          <w:szCs w:val="32"/>
        </w:rPr>
        <w:t>2025 - 2026</w:t>
      </w:r>
    </w:p>
    <w:p w14:paraId="080C6C21" w14:textId="77777777" w:rsidR="00D3536D" w:rsidRPr="005D6DAA" w:rsidRDefault="00D3536D" w:rsidP="00881BA6">
      <w:pPr>
        <w:jc w:val="center"/>
        <w:rPr>
          <w:rFonts w:ascii="Arial" w:hAnsi="Arial" w:cs="Arial"/>
          <w:sz w:val="24"/>
          <w:szCs w:val="24"/>
        </w:rPr>
      </w:pPr>
      <w:r w:rsidRPr="005D6DAA">
        <w:rPr>
          <w:rFonts w:ascii="Arial" w:hAnsi="Arial" w:cs="Arial"/>
          <w:b/>
          <w:sz w:val="32"/>
          <w:szCs w:val="32"/>
        </w:rPr>
        <w:t>TUITION AND INSURANCE RATES FOR GRAs</w:t>
      </w:r>
    </w:p>
    <w:p w14:paraId="5F9CD121" w14:textId="77777777" w:rsidR="00D3536D" w:rsidRPr="00881BA6" w:rsidRDefault="005D6DAA">
      <w:pPr>
        <w:rPr>
          <w:rFonts w:ascii="Arial" w:hAnsi="Arial" w:cs="Arial"/>
        </w:rPr>
      </w:pPr>
      <w:r w:rsidRPr="00881BA6">
        <w:rPr>
          <w:rFonts w:ascii="Arial" w:hAnsi="Arial" w:cs="Arial"/>
        </w:rPr>
        <w:t xml:space="preserve">The </w:t>
      </w:r>
      <w:r w:rsidR="00D3536D" w:rsidRPr="00881BA6">
        <w:rPr>
          <w:rFonts w:ascii="Arial" w:hAnsi="Arial" w:cs="Arial"/>
        </w:rPr>
        <w:t>information</w:t>
      </w:r>
      <w:r w:rsidRPr="00881BA6">
        <w:rPr>
          <w:rFonts w:ascii="Arial" w:hAnsi="Arial" w:cs="Arial"/>
        </w:rPr>
        <w:t xml:space="preserve"> regarding the </w:t>
      </w:r>
      <w:r w:rsidR="00E324F7" w:rsidRPr="00881BA6">
        <w:rPr>
          <w:rFonts w:ascii="Arial" w:hAnsi="Arial" w:cs="Arial"/>
        </w:rPr>
        <w:t>health insurance rates</w:t>
      </w:r>
      <w:r w:rsidR="00E324F7">
        <w:rPr>
          <w:rFonts w:ascii="Arial" w:hAnsi="Arial" w:cs="Arial"/>
        </w:rPr>
        <w:t>,</w:t>
      </w:r>
      <w:r w:rsidR="00E324F7" w:rsidRPr="00881BA6">
        <w:rPr>
          <w:rFonts w:ascii="Arial" w:hAnsi="Arial" w:cs="Arial"/>
        </w:rPr>
        <w:t xml:space="preserve"> </w:t>
      </w:r>
      <w:r w:rsidRPr="00881BA6">
        <w:rPr>
          <w:rFonts w:ascii="Arial" w:hAnsi="Arial" w:cs="Arial"/>
        </w:rPr>
        <w:t>tuition</w:t>
      </w:r>
      <w:r w:rsidR="00E324F7">
        <w:rPr>
          <w:rFonts w:ascii="Arial" w:hAnsi="Arial" w:cs="Arial"/>
        </w:rPr>
        <w:t>,</w:t>
      </w:r>
      <w:r w:rsidRPr="00881BA6">
        <w:rPr>
          <w:rFonts w:ascii="Arial" w:hAnsi="Arial" w:cs="Arial"/>
        </w:rPr>
        <w:t xml:space="preserve"> </w:t>
      </w:r>
      <w:r w:rsidR="00E324F7">
        <w:rPr>
          <w:rFonts w:ascii="Arial" w:hAnsi="Arial" w:cs="Arial"/>
        </w:rPr>
        <w:t>international fees, and stipends</w:t>
      </w:r>
      <w:r w:rsidRPr="00881BA6">
        <w:rPr>
          <w:rFonts w:ascii="Arial" w:hAnsi="Arial" w:cs="Arial"/>
        </w:rPr>
        <w:t xml:space="preserve"> for GRAs</w:t>
      </w:r>
      <w:r w:rsidR="00D3536D" w:rsidRPr="00881BA6">
        <w:rPr>
          <w:rFonts w:ascii="Arial" w:hAnsi="Arial" w:cs="Arial"/>
        </w:rPr>
        <w:t xml:space="preserve"> can be located at the links below:</w:t>
      </w:r>
    </w:p>
    <w:p w14:paraId="1E0FC019" w14:textId="77777777" w:rsidR="00D3536D" w:rsidRPr="00881BA6" w:rsidRDefault="003C56A6">
      <w:pPr>
        <w:rPr>
          <w:rFonts w:ascii="Arial" w:hAnsi="Arial" w:cs="Arial"/>
        </w:rPr>
      </w:pPr>
      <w:hyperlink r:id="rId4" w:history="1">
        <w:r w:rsidR="00D3536D" w:rsidRPr="00881BA6">
          <w:rPr>
            <w:rStyle w:val="Hyperlink"/>
            <w:rFonts w:ascii="Arial" w:hAnsi="Arial" w:cs="Arial"/>
          </w:rPr>
          <w:t>http://www.uah</w:t>
        </w:r>
        <w:r w:rsidR="00D3536D" w:rsidRPr="00881BA6">
          <w:rPr>
            <w:rStyle w:val="Hyperlink"/>
            <w:rFonts w:ascii="Arial" w:hAnsi="Arial" w:cs="Arial"/>
          </w:rPr>
          <w:t>.</w:t>
        </w:r>
        <w:r w:rsidR="00D3536D" w:rsidRPr="00881BA6">
          <w:rPr>
            <w:rStyle w:val="Hyperlink"/>
            <w:rFonts w:ascii="Arial" w:hAnsi="Arial" w:cs="Arial"/>
          </w:rPr>
          <w:t>edu/b</w:t>
        </w:r>
        <w:r w:rsidR="00D3536D" w:rsidRPr="00881BA6">
          <w:rPr>
            <w:rStyle w:val="Hyperlink"/>
            <w:rFonts w:ascii="Arial" w:hAnsi="Arial" w:cs="Arial"/>
          </w:rPr>
          <w:t>u</w:t>
        </w:r>
        <w:r w:rsidR="00D3536D" w:rsidRPr="00881BA6">
          <w:rPr>
            <w:rStyle w:val="Hyperlink"/>
            <w:rFonts w:ascii="Arial" w:hAnsi="Arial" w:cs="Arial"/>
          </w:rPr>
          <w:t>rsar/tuition</w:t>
        </w:r>
      </w:hyperlink>
    </w:p>
    <w:p w14:paraId="5D494224" w14:textId="22424B3B" w:rsidR="00D3536D" w:rsidRPr="003501B8" w:rsidRDefault="003501B8">
      <w:hyperlink r:id="rId5" w:history="1">
        <w:r w:rsidRPr="002F4E46">
          <w:rPr>
            <w:rStyle w:val="Hyperlink"/>
          </w:rPr>
          <w:t>https://myahpcare.com/wp-content/uploads/UAH_INTL_GA_PC-25-26.pdf</w:t>
        </w:r>
      </w:hyperlink>
      <w:r>
        <w:t xml:space="preserve"> </w:t>
      </w:r>
    </w:p>
    <w:p w14:paraId="5E7B4EB8" w14:textId="59D1F993" w:rsidR="00E324F7" w:rsidRPr="00881BA6" w:rsidRDefault="003C56A6">
      <w:pPr>
        <w:rPr>
          <w:rFonts w:ascii="Arial" w:hAnsi="Arial" w:cs="Arial"/>
        </w:rPr>
      </w:pPr>
      <w:hyperlink r:id="rId6" w:history="1">
        <w:r w:rsidR="002C0F01" w:rsidRPr="00AE247F">
          <w:rPr>
            <w:rStyle w:val="Hyperlink"/>
          </w:rPr>
          <w:t>https://www.uah.edu/g</w:t>
        </w:r>
        <w:r w:rsidR="002C0F01" w:rsidRPr="00AE247F">
          <w:rPr>
            <w:rStyle w:val="Hyperlink"/>
          </w:rPr>
          <w:t>r</w:t>
        </w:r>
        <w:r w:rsidR="002C0F01" w:rsidRPr="00AE247F">
          <w:rPr>
            <w:rStyle w:val="Hyperlink"/>
          </w:rPr>
          <w:t>aduate/faqs</w:t>
        </w:r>
      </w:hyperlink>
      <w:r w:rsidR="002C0F01">
        <w:t xml:space="preserve"> and </w:t>
      </w:r>
      <w:hyperlink r:id="rId7" w:history="1">
        <w:r w:rsidR="002C0F01" w:rsidRPr="00AE247F">
          <w:rPr>
            <w:rStyle w:val="Hyperlink"/>
            <w:rFonts w:ascii="Arial" w:hAnsi="Arial" w:cs="Arial"/>
          </w:rPr>
          <w:t>https://www.uah.ed</w:t>
        </w:r>
        <w:r w:rsidR="002C0F01" w:rsidRPr="00AE247F">
          <w:rPr>
            <w:rStyle w:val="Hyperlink"/>
            <w:rFonts w:ascii="Arial" w:hAnsi="Arial" w:cs="Arial"/>
          </w:rPr>
          <w:t>u</w:t>
        </w:r>
        <w:r w:rsidR="002C0F01" w:rsidRPr="00AE247F">
          <w:rPr>
            <w:rStyle w:val="Hyperlink"/>
            <w:rFonts w:ascii="Arial" w:hAnsi="Arial" w:cs="Arial"/>
          </w:rPr>
          <w:t>/admissions/graduate/financial-aid/assistantships</w:t>
        </w:r>
      </w:hyperlink>
      <w:r w:rsidR="00E324F7">
        <w:rPr>
          <w:rFonts w:ascii="Arial" w:hAnsi="Arial" w:cs="Arial"/>
        </w:rPr>
        <w:t xml:space="preserve"> </w:t>
      </w:r>
    </w:p>
    <w:p w14:paraId="3B87DB69" w14:textId="77777777" w:rsidR="00D3536D" w:rsidRPr="00881BA6" w:rsidRDefault="00D3536D">
      <w:pPr>
        <w:rPr>
          <w:rFonts w:ascii="Arial" w:hAnsi="Arial" w:cs="Arial"/>
        </w:rPr>
      </w:pPr>
    </w:p>
    <w:p w14:paraId="65F91A91" w14:textId="77777777" w:rsidR="00D3536D" w:rsidRPr="00881BA6" w:rsidRDefault="00D3536D">
      <w:pPr>
        <w:rPr>
          <w:rFonts w:ascii="Arial" w:hAnsi="Arial" w:cs="Arial"/>
          <w:b/>
        </w:rPr>
      </w:pPr>
      <w:r w:rsidRPr="00881BA6">
        <w:rPr>
          <w:rFonts w:ascii="Arial" w:hAnsi="Arial" w:cs="Arial"/>
          <w:b/>
        </w:rPr>
        <w:t xml:space="preserve">Current </w:t>
      </w:r>
      <w:r w:rsidR="00E324F7">
        <w:rPr>
          <w:rFonts w:ascii="Arial" w:hAnsi="Arial" w:cs="Arial"/>
          <w:b/>
        </w:rPr>
        <w:t xml:space="preserve">Health </w:t>
      </w:r>
      <w:r w:rsidRPr="00881BA6">
        <w:rPr>
          <w:rFonts w:ascii="Arial" w:hAnsi="Arial" w:cs="Arial"/>
          <w:b/>
        </w:rPr>
        <w:t>Insurance Rates:</w:t>
      </w:r>
    </w:p>
    <w:p w14:paraId="207D1B32" w14:textId="021388BF" w:rsidR="00D3536D" w:rsidRPr="00881BA6" w:rsidRDefault="00D3536D" w:rsidP="005D6DAA">
      <w:pPr>
        <w:pStyle w:val="NoSpacing"/>
        <w:rPr>
          <w:rFonts w:ascii="Arial" w:hAnsi="Arial" w:cs="Arial"/>
        </w:rPr>
      </w:pPr>
      <w:r w:rsidRPr="00881BA6">
        <w:rPr>
          <w:rFonts w:ascii="Arial" w:hAnsi="Arial" w:cs="Arial"/>
        </w:rPr>
        <w:t>Fall</w:t>
      </w:r>
      <w:r w:rsidRPr="00881BA6">
        <w:rPr>
          <w:rFonts w:ascii="Arial" w:hAnsi="Arial" w:cs="Arial"/>
        </w:rPr>
        <w:tab/>
      </w:r>
      <w:r w:rsidRPr="00881BA6">
        <w:rPr>
          <w:rFonts w:ascii="Arial" w:hAnsi="Arial" w:cs="Arial"/>
        </w:rPr>
        <w:tab/>
        <w:t>= $</w:t>
      </w:r>
      <w:r w:rsidR="003E256B">
        <w:rPr>
          <w:rFonts w:ascii="Arial" w:hAnsi="Arial" w:cs="Arial"/>
        </w:rPr>
        <w:t>5</w:t>
      </w:r>
      <w:r w:rsidR="000B544E">
        <w:rPr>
          <w:rFonts w:ascii="Arial" w:hAnsi="Arial" w:cs="Arial"/>
        </w:rPr>
        <w:t>68</w:t>
      </w:r>
      <w:r w:rsidR="003501B8">
        <w:rPr>
          <w:rFonts w:ascii="Arial" w:hAnsi="Arial" w:cs="Arial"/>
        </w:rPr>
        <w:t xml:space="preserve"> (8/12/2025 – 12/31/2025)</w:t>
      </w:r>
    </w:p>
    <w:p w14:paraId="7A8923EE" w14:textId="2F2702DA" w:rsidR="00D3536D" w:rsidRPr="00881BA6" w:rsidRDefault="007B3071" w:rsidP="005D6DAA">
      <w:pPr>
        <w:pStyle w:val="NoSpacing"/>
        <w:rPr>
          <w:rFonts w:ascii="Arial" w:hAnsi="Arial" w:cs="Arial"/>
        </w:rPr>
      </w:pPr>
      <w:r w:rsidRPr="00881BA6">
        <w:rPr>
          <w:rFonts w:ascii="Arial" w:hAnsi="Arial" w:cs="Arial"/>
        </w:rPr>
        <w:t>Spring</w:t>
      </w:r>
      <w:r w:rsidRPr="00881BA6">
        <w:rPr>
          <w:rFonts w:ascii="Arial" w:hAnsi="Arial" w:cs="Arial"/>
        </w:rPr>
        <w:tab/>
      </w:r>
      <w:r w:rsidRPr="00881BA6">
        <w:rPr>
          <w:rFonts w:ascii="Arial" w:hAnsi="Arial" w:cs="Arial"/>
        </w:rPr>
        <w:tab/>
        <w:t>= $</w:t>
      </w:r>
      <w:r w:rsidR="003501B8">
        <w:rPr>
          <w:rFonts w:ascii="Arial" w:hAnsi="Arial" w:cs="Arial"/>
        </w:rPr>
        <w:t>496 (1/1/2026 – 5/4/2026)</w:t>
      </w:r>
    </w:p>
    <w:p w14:paraId="7A344856" w14:textId="4352962B" w:rsidR="00D3536D" w:rsidRPr="00881BA6" w:rsidRDefault="00D3536D" w:rsidP="005D6DAA">
      <w:pPr>
        <w:pStyle w:val="NoSpacing"/>
        <w:rPr>
          <w:rFonts w:ascii="Arial" w:hAnsi="Arial" w:cs="Arial"/>
        </w:rPr>
      </w:pPr>
      <w:r w:rsidRPr="00881BA6">
        <w:rPr>
          <w:rFonts w:ascii="Arial" w:hAnsi="Arial" w:cs="Arial"/>
        </w:rPr>
        <w:t>Summer</w:t>
      </w:r>
      <w:r w:rsidRPr="00881BA6">
        <w:rPr>
          <w:rFonts w:ascii="Arial" w:hAnsi="Arial" w:cs="Arial"/>
        </w:rPr>
        <w:tab/>
        <w:t>= $</w:t>
      </w:r>
      <w:r w:rsidR="003E256B">
        <w:rPr>
          <w:rFonts w:ascii="Arial" w:hAnsi="Arial" w:cs="Arial"/>
        </w:rPr>
        <w:t>3</w:t>
      </w:r>
      <w:r w:rsidR="003501B8">
        <w:rPr>
          <w:rFonts w:ascii="Arial" w:hAnsi="Arial" w:cs="Arial"/>
        </w:rPr>
        <w:t>96 (5/5/2026 – 8/11/2026)</w:t>
      </w:r>
    </w:p>
    <w:p w14:paraId="42C7F438" w14:textId="77777777" w:rsidR="005D6DAA" w:rsidRPr="00881BA6" w:rsidRDefault="005D6DAA" w:rsidP="005D6DAA">
      <w:pPr>
        <w:pStyle w:val="NoSpacing"/>
        <w:rPr>
          <w:rFonts w:ascii="Arial" w:hAnsi="Arial" w:cs="Arial"/>
        </w:rPr>
      </w:pPr>
    </w:p>
    <w:p w14:paraId="0BF0CE41" w14:textId="77777777" w:rsidR="008A29F8" w:rsidRPr="00881BA6" w:rsidRDefault="008A29F8">
      <w:pPr>
        <w:rPr>
          <w:rFonts w:ascii="Arial" w:hAnsi="Arial" w:cs="Arial"/>
          <w:b/>
        </w:rPr>
      </w:pPr>
      <w:r w:rsidRPr="00881BA6">
        <w:rPr>
          <w:rFonts w:ascii="Arial" w:hAnsi="Arial" w:cs="Arial"/>
          <w:b/>
        </w:rPr>
        <w:t>Current Tuition Rates:</w:t>
      </w:r>
      <w:r w:rsidR="006B33AA">
        <w:rPr>
          <w:rFonts w:ascii="Arial" w:hAnsi="Arial" w:cs="Arial"/>
          <w:b/>
        </w:rPr>
        <w:t xml:space="preserve"> </w:t>
      </w:r>
    </w:p>
    <w:p w14:paraId="30255926" w14:textId="761BE878" w:rsidR="008A29F8" w:rsidRPr="00881BA6" w:rsidRDefault="008A29F8" w:rsidP="005D6DAA">
      <w:pPr>
        <w:pStyle w:val="NoSpacing"/>
        <w:rPr>
          <w:rFonts w:ascii="Arial" w:hAnsi="Arial" w:cs="Arial"/>
        </w:rPr>
      </w:pPr>
      <w:r w:rsidRPr="00881BA6">
        <w:rPr>
          <w:rFonts w:ascii="Arial" w:hAnsi="Arial" w:cs="Arial"/>
        </w:rPr>
        <w:t>3 hours</w:t>
      </w:r>
      <w:r w:rsidRPr="00881BA6">
        <w:rPr>
          <w:rFonts w:ascii="Arial" w:hAnsi="Arial" w:cs="Arial"/>
        </w:rPr>
        <w:tab/>
      </w:r>
      <w:r w:rsidRPr="00881BA6">
        <w:rPr>
          <w:rFonts w:ascii="Arial" w:hAnsi="Arial" w:cs="Arial"/>
        </w:rPr>
        <w:tab/>
        <w:t>= $</w:t>
      </w:r>
      <w:r w:rsidR="003501B8">
        <w:rPr>
          <w:rFonts w:ascii="Arial" w:hAnsi="Arial" w:cs="Arial"/>
        </w:rPr>
        <w:t>2,145</w:t>
      </w:r>
    </w:p>
    <w:p w14:paraId="23D9CFDD" w14:textId="0E780ED9" w:rsidR="008A29F8" w:rsidRPr="00881BA6" w:rsidRDefault="008A29F8" w:rsidP="005D6DAA">
      <w:pPr>
        <w:pStyle w:val="NoSpacing"/>
        <w:rPr>
          <w:rFonts w:ascii="Arial" w:hAnsi="Arial" w:cs="Arial"/>
        </w:rPr>
      </w:pPr>
      <w:r w:rsidRPr="00881BA6">
        <w:rPr>
          <w:rFonts w:ascii="Arial" w:hAnsi="Arial" w:cs="Arial"/>
        </w:rPr>
        <w:t>6 hours</w:t>
      </w:r>
      <w:r w:rsidRPr="00881BA6">
        <w:rPr>
          <w:rFonts w:ascii="Arial" w:hAnsi="Arial" w:cs="Arial"/>
        </w:rPr>
        <w:tab/>
      </w:r>
      <w:r w:rsidRPr="00881BA6">
        <w:rPr>
          <w:rFonts w:ascii="Arial" w:hAnsi="Arial" w:cs="Arial"/>
        </w:rPr>
        <w:tab/>
        <w:t>= $</w:t>
      </w:r>
      <w:r w:rsidR="003E256B">
        <w:rPr>
          <w:rFonts w:ascii="Arial" w:hAnsi="Arial" w:cs="Arial"/>
        </w:rPr>
        <w:t>4,</w:t>
      </w:r>
      <w:r w:rsidR="003501B8">
        <w:rPr>
          <w:rFonts w:ascii="Arial" w:hAnsi="Arial" w:cs="Arial"/>
        </w:rPr>
        <w:t>290</w:t>
      </w:r>
    </w:p>
    <w:p w14:paraId="76080894" w14:textId="02F7FB78" w:rsidR="008A29F8" w:rsidRPr="00881BA6" w:rsidRDefault="008A29F8" w:rsidP="005D6DAA">
      <w:pPr>
        <w:pStyle w:val="NoSpacing"/>
        <w:rPr>
          <w:rFonts w:ascii="Arial" w:hAnsi="Arial" w:cs="Arial"/>
        </w:rPr>
      </w:pPr>
      <w:r w:rsidRPr="00881BA6">
        <w:rPr>
          <w:rFonts w:ascii="Arial" w:hAnsi="Arial" w:cs="Arial"/>
        </w:rPr>
        <w:t>9-15 hours</w:t>
      </w:r>
      <w:r w:rsidRPr="00881BA6">
        <w:rPr>
          <w:rFonts w:ascii="Arial" w:hAnsi="Arial" w:cs="Arial"/>
        </w:rPr>
        <w:tab/>
      </w:r>
      <w:r w:rsidR="005D6DAA" w:rsidRPr="00881BA6">
        <w:rPr>
          <w:rFonts w:ascii="Arial" w:hAnsi="Arial" w:cs="Arial"/>
        </w:rPr>
        <w:tab/>
      </w:r>
      <w:r w:rsidRPr="00881BA6">
        <w:rPr>
          <w:rFonts w:ascii="Arial" w:hAnsi="Arial" w:cs="Arial"/>
        </w:rPr>
        <w:t>= $</w:t>
      </w:r>
      <w:r w:rsidR="003E256B">
        <w:rPr>
          <w:rFonts w:ascii="Arial" w:hAnsi="Arial" w:cs="Arial"/>
        </w:rPr>
        <w:t>5,</w:t>
      </w:r>
      <w:r w:rsidR="003501B8">
        <w:rPr>
          <w:rFonts w:ascii="Arial" w:hAnsi="Arial" w:cs="Arial"/>
        </w:rPr>
        <w:t>835</w:t>
      </w:r>
    </w:p>
    <w:p w14:paraId="2D3E17EB" w14:textId="77777777" w:rsidR="00881BA6" w:rsidRPr="00881BA6" w:rsidRDefault="00881BA6" w:rsidP="005D6DAA">
      <w:pPr>
        <w:pStyle w:val="NoSpacing"/>
        <w:rPr>
          <w:rFonts w:ascii="Arial" w:hAnsi="Arial" w:cs="Arial"/>
        </w:rPr>
      </w:pPr>
    </w:p>
    <w:p w14:paraId="4228597A" w14:textId="77777777" w:rsidR="00881BA6" w:rsidRPr="00881BA6" w:rsidRDefault="00881BA6" w:rsidP="005D6DAA">
      <w:pPr>
        <w:pStyle w:val="NoSpacing"/>
        <w:rPr>
          <w:rFonts w:ascii="Arial" w:hAnsi="Arial" w:cs="Arial"/>
          <w:b/>
        </w:rPr>
      </w:pPr>
      <w:r w:rsidRPr="00881BA6">
        <w:rPr>
          <w:rFonts w:ascii="Arial" w:hAnsi="Arial" w:cs="Arial"/>
          <w:b/>
        </w:rPr>
        <w:t>International Service Fees:</w:t>
      </w:r>
      <w:r w:rsidR="00B31897">
        <w:rPr>
          <w:rFonts w:ascii="Arial" w:hAnsi="Arial" w:cs="Arial"/>
          <w:b/>
        </w:rPr>
        <w:t>*</w:t>
      </w:r>
    </w:p>
    <w:p w14:paraId="20FD859F" w14:textId="77777777" w:rsidR="00881BA6" w:rsidRPr="00881BA6" w:rsidRDefault="00881BA6" w:rsidP="005D6DAA">
      <w:pPr>
        <w:pStyle w:val="NoSpacing"/>
        <w:rPr>
          <w:rFonts w:ascii="Arial" w:hAnsi="Arial" w:cs="Arial"/>
        </w:rPr>
      </w:pPr>
      <w:r w:rsidRPr="00881BA6">
        <w:rPr>
          <w:rFonts w:ascii="Arial" w:hAnsi="Arial" w:cs="Arial"/>
        </w:rPr>
        <w:t>Fall and Spring</w:t>
      </w:r>
      <w:r w:rsidRPr="00881BA6">
        <w:rPr>
          <w:rFonts w:ascii="Arial" w:hAnsi="Arial" w:cs="Arial"/>
        </w:rPr>
        <w:tab/>
        <w:t>= $150 per semester</w:t>
      </w:r>
      <w:r w:rsidR="006B33AA">
        <w:rPr>
          <w:rFonts w:ascii="Arial" w:hAnsi="Arial" w:cs="Arial"/>
        </w:rPr>
        <w:t xml:space="preserve"> </w:t>
      </w:r>
    </w:p>
    <w:p w14:paraId="38FBF89B" w14:textId="77777777" w:rsidR="00881BA6" w:rsidRPr="00881BA6" w:rsidRDefault="00881BA6" w:rsidP="005D6DAA">
      <w:pPr>
        <w:pStyle w:val="NoSpacing"/>
        <w:rPr>
          <w:rFonts w:ascii="Arial" w:hAnsi="Arial" w:cs="Arial"/>
        </w:rPr>
      </w:pPr>
      <w:r w:rsidRPr="00881BA6">
        <w:rPr>
          <w:rFonts w:ascii="Arial" w:hAnsi="Arial" w:cs="Arial"/>
        </w:rPr>
        <w:t>Summer (5-weeks)</w:t>
      </w:r>
      <w:r w:rsidRPr="00881BA6">
        <w:rPr>
          <w:rFonts w:ascii="Arial" w:hAnsi="Arial" w:cs="Arial"/>
        </w:rPr>
        <w:tab/>
        <w:t>= $25</w:t>
      </w:r>
    </w:p>
    <w:p w14:paraId="357D35F7" w14:textId="77777777" w:rsidR="00881BA6" w:rsidRDefault="00881BA6" w:rsidP="005D6DAA">
      <w:pPr>
        <w:pStyle w:val="NoSpacing"/>
        <w:rPr>
          <w:rFonts w:ascii="Arial" w:hAnsi="Arial" w:cs="Arial"/>
        </w:rPr>
      </w:pPr>
      <w:r w:rsidRPr="00881BA6">
        <w:rPr>
          <w:rFonts w:ascii="Arial" w:hAnsi="Arial" w:cs="Arial"/>
        </w:rPr>
        <w:t>Summer (10-week)</w:t>
      </w:r>
      <w:r w:rsidRPr="00881BA6">
        <w:rPr>
          <w:rFonts w:ascii="Arial" w:hAnsi="Arial" w:cs="Arial"/>
        </w:rPr>
        <w:tab/>
        <w:t>= $50</w:t>
      </w:r>
    </w:p>
    <w:p w14:paraId="1F8C0E8A" w14:textId="77777777" w:rsidR="005D6DAA" w:rsidRPr="00881BA6" w:rsidRDefault="005D6DAA">
      <w:pPr>
        <w:rPr>
          <w:rFonts w:ascii="Arial" w:hAnsi="Arial" w:cs="Arial"/>
        </w:rPr>
      </w:pPr>
    </w:p>
    <w:p w14:paraId="5B167463" w14:textId="77777777" w:rsidR="00D3536D" w:rsidRPr="00881BA6" w:rsidRDefault="00D3536D">
      <w:pPr>
        <w:rPr>
          <w:rFonts w:ascii="Arial" w:hAnsi="Arial" w:cs="Arial"/>
        </w:rPr>
      </w:pPr>
      <w:r w:rsidRPr="00881BA6">
        <w:rPr>
          <w:rFonts w:ascii="Arial" w:hAnsi="Arial" w:cs="Arial"/>
        </w:rPr>
        <w:t>Monthly rate to use on proposals are as follows:</w:t>
      </w:r>
    </w:p>
    <w:tbl>
      <w:tblPr>
        <w:tblStyle w:val="TableGrid"/>
        <w:tblW w:w="11730" w:type="dxa"/>
        <w:tblInd w:w="-575" w:type="dxa"/>
        <w:tblLook w:val="04A0" w:firstRow="1" w:lastRow="0" w:firstColumn="1" w:lastColumn="0" w:noHBand="0" w:noVBand="1"/>
      </w:tblPr>
      <w:tblGrid>
        <w:gridCol w:w="1183"/>
        <w:gridCol w:w="1195"/>
        <w:gridCol w:w="1195"/>
        <w:gridCol w:w="1195"/>
        <w:gridCol w:w="1195"/>
        <w:gridCol w:w="1195"/>
        <w:gridCol w:w="1195"/>
        <w:gridCol w:w="1195"/>
        <w:gridCol w:w="1195"/>
        <w:gridCol w:w="1195"/>
      </w:tblGrid>
      <w:tr w:rsidR="00467AFE" w:rsidRPr="00881BA6" w14:paraId="7FA49C0C" w14:textId="516EABD7" w:rsidTr="00467AFE">
        <w:trPr>
          <w:trHeight w:val="424"/>
        </w:trPr>
        <w:tc>
          <w:tcPr>
            <w:tcW w:w="1183" w:type="dxa"/>
          </w:tcPr>
          <w:p w14:paraId="077BD2E9" w14:textId="77777777" w:rsidR="00467AFE" w:rsidRPr="00881BA6" w:rsidRDefault="00467AFE" w:rsidP="00C1108A">
            <w:pPr>
              <w:rPr>
                <w:rFonts w:ascii="Arial" w:hAnsi="Arial" w:cs="Arial"/>
              </w:rPr>
            </w:pPr>
          </w:p>
        </w:tc>
        <w:tc>
          <w:tcPr>
            <w:tcW w:w="1195" w:type="dxa"/>
          </w:tcPr>
          <w:p w14:paraId="4C478C31" w14:textId="09657D95" w:rsidR="00467AFE" w:rsidRPr="00881BA6" w:rsidRDefault="00467AFE" w:rsidP="00837673">
            <w:pPr>
              <w:rPr>
                <w:rFonts w:ascii="Arial" w:hAnsi="Arial" w:cs="Arial"/>
              </w:rPr>
            </w:pPr>
            <w:r w:rsidRPr="00881BA6">
              <w:rPr>
                <w:rFonts w:ascii="Arial" w:hAnsi="Arial" w:cs="Arial"/>
              </w:rPr>
              <w:t>9/1/202</w:t>
            </w:r>
            <w:r w:rsidR="003C56A6">
              <w:rPr>
                <w:rFonts w:ascii="Arial" w:hAnsi="Arial" w:cs="Arial"/>
              </w:rPr>
              <w:t>5</w:t>
            </w:r>
            <w:r w:rsidRPr="00881BA6">
              <w:rPr>
                <w:rFonts w:ascii="Arial" w:hAnsi="Arial" w:cs="Arial"/>
              </w:rPr>
              <w:t>- 8/31/20</w:t>
            </w:r>
            <w:r>
              <w:rPr>
                <w:rFonts w:ascii="Arial" w:hAnsi="Arial" w:cs="Arial"/>
              </w:rPr>
              <w:t>2</w:t>
            </w:r>
            <w:r w:rsidR="003C56A6">
              <w:rPr>
                <w:rFonts w:ascii="Arial" w:hAnsi="Arial" w:cs="Arial"/>
              </w:rPr>
              <w:t>6</w:t>
            </w:r>
          </w:p>
        </w:tc>
        <w:tc>
          <w:tcPr>
            <w:tcW w:w="1195" w:type="dxa"/>
          </w:tcPr>
          <w:p w14:paraId="6FDA0373" w14:textId="3B1339CE" w:rsidR="00467AFE" w:rsidRPr="00881BA6" w:rsidRDefault="00467AFE" w:rsidP="00837673">
            <w:pPr>
              <w:rPr>
                <w:rFonts w:ascii="Arial" w:hAnsi="Arial" w:cs="Arial"/>
              </w:rPr>
            </w:pPr>
            <w:r w:rsidRPr="00881BA6">
              <w:rPr>
                <w:rFonts w:ascii="Arial" w:hAnsi="Arial" w:cs="Arial"/>
              </w:rPr>
              <w:t>9/1/202</w:t>
            </w:r>
            <w:r w:rsidR="003C56A6">
              <w:rPr>
                <w:rFonts w:ascii="Arial" w:hAnsi="Arial" w:cs="Arial"/>
              </w:rPr>
              <w:t>6</w:t>
            </w:r>
            <w:r w:rsidRPr="00881BA6">
              <w:rPr>
                <w:rFonts w:ascii="Arial" w:hAnsi="Arial" w:cs="Arial"/>
              </w:rPr>
              <w:t>- 8/31/202</w:t>
            </w:r>
            <w:r w:rsidR="003C56A6">
              <w:rPr>
                <w:rFonts w:ascii="Arial" w:hAnsi="Arial" w:cs="Arial"/>
              </w:rPr>
              <w:t>7</w:t>
            </w:r>
          </w:p>
        </w:tc>
        <w:tc>
          <w:tcPr>
            <w:tcW w:w="1195" w:type="dxa"/>
          </w:tcPr>
          <w:p w14:paraId="19C346D8" w14:textId="160AD301" w:rsidR="00467AFE" w:rsidRPr="00881BA6" w:rsidRDefault="00467AFE" w:rsidP="00837673">
            <w:pPr>
              <w:rPr>
                <w:rFonts w:ascii="Arial" w:hAnsi="Arial" w:cs="Arial"/>
              </w:rPr>
            </w:pPr>
            <w:r w:rsidRPr="00881BA6">
              <w:rPr>
                <w:rFonts w:ascii="Arial" w:hAnsi="Arial" w:cs="Arial"/>
              </w:rPr>
              <w:t>9/1/202</w:t>
            </w:r>
            <w:r w:rsidR="003C56A6">
              <w:rPr>
                <w:rFonts w:ascii="Arial" w:hAnsi="Arial" w:cs="Arial"/>
              </w:rPr>
              <w:t>7</w:t>
            </w:r>
            <w:r w:rsidRPr="00881BA6">
              <w:rPr>
                <w:rFonts w:ascii="Arial" w:hAnsi="Arial" w:cs="Arial"/>
              </w:rPr>
              <w:t>- 8/31/202</w:t>
            </w:r>
            <w:r w:rsidR="003C56A6">
              <w:rPr>
                <w:rFonts w:ascii="Arial" w:hAnsi="Arial" w:cs="Arial"/>
              </w:rPr>
              <w:t>8</w:t>
            </w:r>
          </w:p>
        </w:tc>
        <w:tc>
          <w:tcPr>
            <w:tcW w:w="1195" w:type="dxa"/>
          </w:tcPr>
          <w:p w14:paraId="73818DE1" w14:textId="23137568" w:rsidR="00467AFE" w:rsidRPr="00881BA6" w:rsidRDefault="00467AFE" w:rsidP="00837673">
            <w:pPr>
              <w:rPr>
                <w:rFonts w:ascii="Arial" w:hAnsi="Arial" w:cs="Arial"/>
              </w:rPr>
            </w:pPr>
            <w:r w:rsidRPr="00881BA6">
              <w:rPr>
                <w:rFonts w:ascii="Arial" w:hAnsi="Arial" w:cs="Arial"/>
              </w:rPr>
              <w:t>9/1/202</w:t>
            </w:r>
            <w:r w:rsidR="003C56A6">
              <w:rPr>
                <w:rFonts w:ascii="Arial" w:hAnsi="Arial" w:cs="Arial"/>
              </w:rPr>
              <w:t>8</w:t>
            </w:r>
            <w:r w:rsidRPr="00881BA6">
              <w:rPr>
                <w:rFonts w:ascii="Arial" w:hAnsi="Arial" w:cs="Arial"/>
              </w:rPr>
              <w:t>- 8/31/20</w:t>
            </w:r>
            <w:r>
              <w:rPr>
                <w:rFonts w:ascii="Arial" w:hAnsi="Arial" w:cs="Arial"/>
              </w:rPr>
              <w:t>2</w:t>
            </w:r>
            <w:r w:rsidR="003C56A6">
              <w:rPr>
                <w:rFonts w:ascii="Arial" w:hAnsi="Arial" w:cs="Arial"/>
              </w:rPr>
              <w:t>9</w:t>
            </w:r>
          </w:p>
        </w:tc>
        <w:tc>
          <w:tcPr>
            <w:tcW w:w="1195" w:type="dxa"/>
          </w:tcPr>
          <w:p w14:paraId="4C2CE088" w14:textId="3E1A08E1" w:rsidR="00467AFE" w:rsidRPr="00881BA6" w:rsidRDefault="00467AFE" w:rsidP="00837673">
            <w:pPr>
              <w:rPr>
                <w:rFonts w:ascii="Arial" w:hAnsi="Arial" w:cs="Arial"/>
              </w:rPr>
            </w:pPr>
            <w:r w:rsidRPr="00881BA6">
              <w:rPr>
                <w:rFonts w:ascii="Arial" w:hAnsi="Arial" w:cs="Arial"/>
              </w:rPr>
              <w:t>9/1/202</w:t>
            </w:r>
            <w:r w:rsidR="003C56A6">
              <w:rPr>
                <w:rFonts w:ascii="Arial" w:hAnsi="Arial" w:cs="Arial"/>
              </w:rPr>
              <w:t>9</w:t>
            </w:r>
            <w:r w:rsidRPr="00881BA6">
              <w:rPr>
                <w:rFonts w:ascii="Arial" w:hAnsi="Arial" w:cs="Arial"/>
              </w:rPr>
              <w:t>- 8/31/20</w:t>
            </w:r>
            <w:r w:rsidR="003C56A6">
              <w:rPr>
                <w:rFonts w:ascii="Arial" w:hAnsi="Arial" w:cs="Arial"/>
              </w:rPr>
              <w:t>30</w:t>
            </w:r>
          </w:p>
        </w:tc>
        <w:tc>
          <w:tcPr>
            <w:tcW w:w="1195" w:type="dxa"/>
          </w:tcPr>
          <w:p w14:paraId="70AE9B8B" w14:textId="4EEEAA6B" w:rsidR="00467AFE" w:rsidRPr="00881BA6" w:rsidRDefault="00467AFE" w:rsidP="00837673">
            <w:pPr>
              <w:rPr>
                <w:rFonts w:ascii="Arial" w:hAnsi="Arial" w:cs="Arial"/>
              </w:rPr>
            </w:pPr>
            <w:r w:rsidRPr="00881BA6">
              <w:rPr>
                <w:rFonts w:ascii="Arial" w:hAnsi="Arial" w:cs="Arial"/>
              </w:rPr>
              <w:t>9/1/20</w:t>
            </w:r>
            <w:r w:rsidR="003C56A6">
              <w:rPr>
                <w:rFonts w:ascii="Arial" w:hAnsi="Arial" w:cs="Arial"/>
              </w:rPr>
              <w:t>30</w:t>
            </w:r>
            <w:r w:rsidRPr="00881BA6">
              <w:rPr>
                <w:rFonts w:ascii="Arial" w:hAnsi="Arial" w:cs="Arial"/>
              </w:rPr>
              <w:t>-8/31/20</w:t>
            </w:r>
            <w:r>
              <w:rPr>
                <w:rFonts w:ascii="Arial" w:hAnsi="Arial" w:cs="Arial"/>
              </w:rPr>
              <w:t>3</w:t>
            </w:r>
            <w:r w:rsidR="003C56A6">
              <w:rPr>
                <w:rFonts w:ascii="Arial" w:hAnsi="Arial" w:cs="Arial"/>
              </w:rPr>
              <w:t>1</w:t>
            </w:r>
          </w:p>
        </w:tc>
        <w:tc>
          <w:tcPr>
            <w:tcW w:w="1195" w:type="dxa"/>
          </w:tcPr>
          <w:p w14:paraId="7592110A" w14:textId="796AC4BD" w:rsidR="00467AFE" w:rsidRPr="00881BA6" w:rsidRDefault="00467AFE" w:rsidP="00837673">
            <w:pPr>
              <w:rPr>
                <w:rFonts w:ascii="Arial" w:hAnsi="Arial" w:cs="Arial"/>
              </w:rPr>
            </w:pPr>
            <w:r w:rsidRPr="00881BA6">
              <w:rPr>
                <w:rFonts w:ascii="Arial" w:hAnsi="Arial" w:cs="Arial"/>
              </w:rPr>
              <w:t>9/1/20</w:t>
            </w:r>
            <w:r>
              <w:rPr>
                <w:rFonts w:ascii="Arial" w:hAnsi="Arial" w:cs="Arial"/>
              </w:rPr>
              <w:t>3</w:t>
            </w:r>
            <w:r w:rsidR="003C56A6">
              <w:rPr>
                <w:rFonts w:ascii="Arial" w:hAnsi="Arial" w:cs="Arial"/>
              </w:rPr>
              <w:t>1</w:t>
            </w:r>
            <w:r w:rsidRPr="00881BA6">
              <w:rPr>
                <w:rFonts w:ascii="Arial" w:hAnsi="Arial" w:cs="Arial"/>
              </w:rPr>
              <w:t>- 8/31/20</w:t>
            </w:r>
            <w:r>
              <w:rPr>
                <w:rFonts w:ascii="Arial" w:hAnsi="Arial" w:cs="Arial"/>
              </w:rPr>
              <w:t>3</w:t>
            </w:r>
            <w:r w:rsidR="003C56A6">
              <w:rPr>
                <w:rFonts w:ascii="Arial" w:hAnsi="Arial" w:cs="Arial"/>
              </w:rPr>
              <w:t>2</w:t>
            </w:r>
          </w:p>
        </w:tc>
        <w:tc>
          <w:tcPr>
            <w:tcW w:w="1195" w:type="dxa"/>
          </w:tcPr>
          <w:p w14:paraId="497C65A3" w14:textId="7B4147EE" w:rsidR="00467AFE" w:rsidRDefault="00467AFE" w:rsidP="00837673">
            <w:pPr>
              <w:rPr>
                <w:rFonts w:ascii="Arial" w:hAnsi="Arial" w:cs="Arial"/>
              </w:rPr>
            </w:pPr>
            <w:r>
              <w:rPr>
                <w:rFonts w:ascii="Arial" w:hAnsi="Arial" w:cs="Arial"/>
              </w:rPr>
              <w:t>9/1/203</w:t>
            </w:r>
            <w:r w:rsidR="003C56A6">
              <w:rPr>
                <w:rFonts w:ascii="Arial" w:hAnsi="Arial" w:cs="Arial"/>
              </w:rPr>
              <w:t>2</w:t>
            </w:r>
            <w:r>
              <w:rPr>
                <w:rFonts w:ascii="Arial" w:hAnsi="Arial" w:cs="Arial"/>
              </w:rPr>
              <w:t>-</w:t>
            </w:r>
          </w:p>
          <w:p w14:paraId="209D39C4" w14:textId="25966E43" w:rsidR="00467AFE" w:rsidRPr="00881BA6" w:rsidRDefault="00467AFE" w:rsidP="00837673">
            <w:pPr>
              <w:rPr>
                <w:rFonts w:ascii="Arial" w:hAnsi="Arial" w:cs="Arial"/>
              </w:rPr>
            </w:pPr>
            <w:r>
              <w:rPr>
                <w:rFonts w:ascii="Arial" w:hAnsi="Arial" w:cs="Arial"/>
              </w:rPr>
              <w:t>8/31/203</w:t>
            </w:r>
            <w:r w:rsidR="003C56A6">
              <w:rPr>
                <w:rFonts w:ascii="Arial" w:hAnsi="Arial" w:cs="Arial"/>
              </w:rPr>
              <w:t>3</w:t>
            </w:r>
          </w:p>
        </w:tc>
        <w:tc>
          <w:tcPr>
            <w:tcW w:w="987" w:type="dxa"/>
          </w:tcPr>
          <w:p w14:paraId="0E4F4ECE" w14:textId="7B1C1910" w:rsidR="00467AFE" w:rsidRDefault="00467AFE" w:rsidP="00837673">
            <w:pPr>
              <w:rPr>
                <w:rFonts w:ascii="Arial" w:hAnsi="Arial" w:cs="Arial"/>
              </w:rPr>
            </w:pPr>
            <w:r>
              <w:rPr>
                <w:rFonts w:ascii="Arial" w:hAnsi="Arial" w:cs="Arial"/>
              </w:rPr>
              <w:t>9/1/203</w:t>
            </w:r>
            <w:r w:rsidR="003C56A6">
              <w:rPr>
                <w:rFonts w:ascii="Arial" w:hAnsi="Arial" w:cs="Arial"/>
              </w:rPr>
              <w:t>3</w:t>
            </w:r>
            <w:r>
              <w:rPr>
                <w:rFonts w:ascii="Arial" w:hAnsi="Arial" w:cs="Arial"/>
              </w:rPr>
              <w:t>-</w:t>
            </w:r>
          </w:p>
          <w:p w14:paraId="1DC32F13" w14:textId="466B0457" w:rsidR="00467AFE" w:rsidRDefault="00467AFE" w:rsidP="00837673">
            <w:pPr>
              <w:rPr>
                <w:rFonts w:ascii="Arial" w:hAnsi="Arial" w:cs="Arial"/>
              </w:rPr>
            </w:pPr>
            <w:r>
              <w:rPr>
                <w:rFonts w:ascii="Arial" w:hAnsi="Arial" w:cs="Arial"/>
              </w:rPr>
              <w:t>8/31/203</w:t>
            </w:r>
            <w:r w:rsidR="003C56A6">
              <w:rPr>
                <w:rFonts w:ascii="Arial" w:hAnsi="Arial" w:cs="Arial"/>
              </w:rPr>
              <w:t>4</w:t>
            </w:r>
          </w:p>
        </w:tc>
      </w:tr>
      <w:tr w:rsidR="00467AFE" w:rsidRPr="00881BA6" w14:paraId="16BB0D7E" w14:textId="4CEED2E6" w:rsidTr="00467AFE">
        <w:trPr>
          <w:trHeight w:val="218"/>
        </w:trPr>
        <w:tc>
          <w:tcPr>
            <w:tcW w:w="1183" w:type="dxa"/>
          </w:tcPr>
          <w:p w14:paraId="69037C75" w14:textId="77777777" w:rsidR="00467AFE" w:rsidRPr="00881BA6" w:rsidRDefault="00467AFE">
            <w:pPr>
              <w:rPr>
                <w:rFonts w:ascii="Arial" w:hAnsi="Arial" w:cs="Arial"/>
              </w:rPr>
            </w:pPr>
            <w:r w:rsidRPr="00881BA6">
              <w:rPr>
                <w:rFonts w:ascii="Arial" w:hAnsi="Arial" w:cs="Arial"/>
              </w:rPr>
              <w:t>Tuition</w:t>
            </w:r>
          </w:p>
        </w:tc>
        <w:tc>
          <w:tcPr>
            <w:tcW w:w="1195" w:type="dxa"/>
          </w:tcPr>
          <w:p w14:paraId="51E5CAD9" w14:textId="64DFE5AA" w:rsidR="00467AFE" w:rsidRPr="00881BA6" w:rsidRDefault="00467AFE">
            <w:pPr>
              <w:rPr>
                <w:rFonts w:ascii="Arial" w:hAnsi="Arial" w:cs="Arial"/>
              </w:rPr>
            </w:pPr>
            <w:r w:rsidRPr="00881BA6">
              <w:rPr>
                <w:rFonts w:ascii="Arial" w:hAnsi="Arial" w:cs="Arial"/>
              </w:rPr>
              <w:t>$</w:t>
            </w:r>
            <w:r>
              <w:rPr>
                <w:rFonts w:ascii="Arial" w:hAnsi="Arial" w:cs="Arial"/>
              </w:rPr>
              <w:t>1,</w:t>
            </w:r>
            <w:r w:rsidR="003C56A6">
              <w:rPr>
                <w:rFonts w:ascii="Arial" w:hAnsi="Arial" w:cs="Arial"/>
              </w:rPr>
              <w:t>459</w:t>
            </w:r>
          </w:p>
        </w:tc>
        <w:tc>
          <w:tcPr>
            <w:tcW w:w="1195" w:type="dxa"/>
          </w:tcPr>
          <w:p w14:paraId="77A3BBA6" w14:textId="17CF1C82" w:rsidR="00467AFE" w:rsidRPr="00881BA6" w:rsidRDefault="00467AFE">
            <w:pPr>
              <w:rPr>
                <w:rFonts w:ascii="Arial" w:hAnsi="Arial" w:cs="Arial"/>
              </w:rPr>
            </w:pPr>
            <w:r w:rsidRPr="00881BA6">
              <w:rPr>
                <w:rFonts w:ascii="Arial" w:hAnsi="Arial" w:cs="Arial"/>
              </w:rPr>
              <w:t>$1,</w:t>
            </w:r>
            <w:r w:rsidR="003C56A6">
              <w:rPr>
                <w:rFonts w:ascii="Arial" w:hAnsi="Arial" w:cs="Arial"/>
              </w:rPr>
              <w:t>503</w:t>
            </w:r>
          </w:p>
        </w:tc>
        <w:tc>
          <w:tcPr>
            <w:tcW w:w="1195" w:type="dxa"/>
          </w:tcPr>
          <w:p w14:paraId="5F62D7D3" w14:textId="0D41A606" w:rsidR="00467AFE" w:rsidRPr="00881BA6" w:rsidRDefault="00467AFE">
            <w:pPr>
              <w:rPr>
                <w:rFonts w:ascii="Arial" w:hAnsi="Arial" w:cs="Arial"/>
              </w:rPr>
            </w:pPr>
            <w:r>
              <w:rPr>
                <w:rFonts w:ascii="Arial" w:hAnsi="Arial" w:cs="Arial"/>
              </w:rPr>
              <w:t>$1,</w:t>
            </w:r>
            <w:r w:rsidR="003C56A6">
              <w:rPr>
                <w:rFonts w:ascii="Arial" w:hAnsi="Arial" w:cs="Arial"/>
              </w:rPr>
              <w:t>548</w:t>
            </w:r>
          </w:p>
        </w:tc>
        <w:tc>
          <w:tcPr>
            <w:tcW w:w="1195" w:type="dxa"/>
          </w:tcPr>
          <w:p w14:paraId="6DFE91B1" w14:textId="5951BD92" w:rsidR="00467AFE" w:rsidRPr="00881BA6" w:rsidRDefault="00467AFE">
            <w:pPr>
              <w:rPr>
                <w:rFonts w:ascii="Arial" w:hAnsi="Arial" w:cs="Arial"/>
              </w:rPr>
            </w:pPr>
            <w:r w:rsidRPr="00881BA6">
              <w:rPr>
                <w:rFonts w:ascii="Arial" w:hAnsi="Arial" w:cs="Arial"/>
              </w:rPr>
              <w:t>$1,5</w:t>
            </w:r>
            <w:r w:rsidR="003C56A6">
              <w:rPr>
                <w:rFonts w:ascii="Arial" w:hAnsi="Arial" w:cs="Arial"/>
              </w:rPr>
              <w:t>94</w:t>
            </w:r>
          </w:p>
        </w:tc>
        <w:tc>
          <w:tcPr>
            <w:tcW w:w="1195" w:type="dxa"/>
          </w:tcPr>
          <w:p w14:paraId="5A281D8C" w14:textId="5733E45C" w:rsidR="00467AFE" w:rsidRPr="00881BA6" w:rsidRDefault="00467AFE">
            <w:pPr>
              <w:rPr>
                <w:rFonts w:ascii="Arial" w:hAnsi="Arial" w:cs="Arial"/>
              </w:rPr>
            </w:pPr>
            <w:r>
              <w:rPr>
                <w:rFonts w:ascii="Arial" w:hAnsi="Arial" w:cs="Arial"/>
              </w:rPr>
              <w:t>$1,</w:t>
            </w:r>
            <w:r w:rsidR="003C56A6">
              <w:rPr>
                <w:rFonts w:ascii="Arial" w:hAnsi="Arial" w:cs="Arial"/>
              </w:rPr>
              <w:t>642</w:t>
            </w:r>
          </w:p>
        </w:tc>
        <w:tc>
          <w:tcPr>
            <w:tcW w:w="1195" w:type="dxa"/>
          </w:tcPr>
          <w:p w14:paraId="50027394" w14:textId="4E0BE5BC" w:rsidR="00467AFE" w:rsidRPr="00881BA6" w:rsidRDefault="00467AFE">
            <w:pPr>
              <w:rPr>
                <w:rFonts w:ascii="Arial" w:hAnsi="Arial" w:cs="Arial"/>
              </w:rPr>
            </w:pPr>
            <w:r>
              <w:rPr>
                <w:rFonts w:ascii="Arial" w:hAnsi="Arial" w:cs="Arial"/>
              </w:rPr>
              <w:t>$1,</w:t>
            </w:r>
            <w:r w:rsidR="003C56A6">
              <w:rPr>
                <w:rFonts w:ascii="Arial" w:hAnsi="Arial" w:cs="Arial"/>
              </w:rPr>
              <w:t>691</w:t>
            </w:r>
          </w:p>
        </w:tc>
        <w:tc>
          <w:tcPr>
            <w:tcW w:w="1195" w:type="dxa"/>
          </w:tcPr>
          <w:p w14:paraId="0918C7F1" w14:textId="3BF6C7BA" w:rsidR="00467AFE" w:rsidRPr="00881BA6" w:rsidRDefault="00467AFE">
            <w:pPr>
              <w:rPr>
                <w:rFonts w:ascii="Arial" w:hAnsi="Arial" w:cs="Arial"/>
              </w:rPr>
            </w:pPr>
            <w:r>
              <w:rPr>
                <w:rFonts w:ascii="Arial" w:hAnsi="Arial" w:cs="Arial"/>
              </w:rPr>
              <w:t>$1,</w:t>
            </w:r>
            <w:r w:rsidR="003C56A6">
              <w:rPr>
                <w:rFonts w:ascii="Arial" w:hAnsi="Arial" w:cs="Arial"/>
              </w:rPr>
              <w:t>742</w:t>
            </w:r>
          </w:p>
        </w:tc>
        <w:tc>
          <w:tcPr>
            <w:tcW w:w="1195" w:type="dxa"/>
          </w:tcPr>
          <w:p w14:paraId="6D82914E" w14:textId="6E78F7A4" w:rsidR="00467AFE" w:rsidRDefault="00467AFE">
            <w:pPr>
              <w:rPr>
                <w:rFonts w:ascii="Arial" w:hAnsi="Arial" w:cs="Arial"/>
              </w:rPr>
            </w:pPr>
            <w:r>
              <w:rPr>
                <w:rFonts w:ascii="Arial" w:hAnsi="Arial" w:cs="Arial"/>
              </w:rPr>
              <w:t>$1,</w:t>
            </w:r>
            <w:r w:rsidR="003C56A6">
              <w:rPr>
                <w:rFonts w:ascii="Arial" w:hAnsi="Arial" w:cs="Arial"/>
              </w:rPr>
              <w:t>794</w:t>
            </w:r>
          </w:p>
        </w:tc>
        <w:tc>
          <w:tcPr>
            <w:tcW w:w="987" w:type="dxa"/>
          </w:tcPr>
          <w:p w14:paraId="011DACB5" w14:textId="03538CB8" w:rsidR="00467AFE" w:rsidRDefault="00467AFE">
            <w:pPr>
              <w:rPr>
                <w:rFonts w:ascii="Arial" w:hAnsi="Arial" w:cs="Arial"/>
              </w:rPr>
            </w:pPr>
            <w:r>
              <w:rPr>
                <w:rFonts w:ascii="Arial" w:hAnsi="Arial" w:cs="Arial"/>
              </w:rPr>
              <w:t>$1,</w:t>
            </w:r>
            <w:r w:rsidR="003C56A6">
              <w:rPr>
                <w:rFonts w:ascii="Arial" w:hAnsi="Arial" w:cs="Arial"/>
              </w:rPr>
              <w:t>848</w:t>
            </w:r>
          </w:p>
        </w:tc>
      </w:tr>
      <w:tr w:rsidR="00467AFE" w:rsidRPr="00881BA6" w14:paraId="60CFD5E3" w14:textId="6EAA8671" w:rsidTr="00467AFE">
        <w:trPr>
          <w:trHeight w:val="205"/>
        </w:trPr>
        <w:tc>
          <w:tcPr>
            <w:tcW w:w="1183" w:type="dxa"/>
          </w:tcPr>
          <w:p w14:paraId="2101634E" w14:textId="77777777" w:rsidR="00467AFE" w:rsidRPr="00881BA6" w:rsidRDefault="00467AFE">
            <w:pPr>
              <w:rPr>
                <w:rFonts w:ascii="Arial" w:hAnsi="Arial" w:cs="Arial"/>
              </w:rPr>
            </w:pPr>
            <w:r w:rsidRPr="00881BA6">
              <w:rPr>
                <w:rFonts w:ascii="Arial" w:hAnsi="Arial" w:cs="Arial"/>
              </w:rPr>
              <w:t>Insurance</w:t>
            </w:r>
          </w:p>
        </w:tc>
        <w:tc>
          <w:tcPr>
            <w:tcW w:w="1195" w:type="dxa"/>
          </w:tcPr>
          <w:p w14:paraId="1DD9CBD4" w14:textId="311E74C3" w:rsidR="00467AFE" w:rsidRPr="00881BA6" w:rsidRDefault="00467AFE" w:rsidP="00C11BEB">
            <w:pPr>
              <w:rPr>
                <w:rFonts w:ascii="Arial" w:hAnsi="Arial" w:cs="Arial"/>
              </w:rPr>
            </w:pPr>
            <w:r>
              <w:rPr>
                <w:rFonts w:ascii="Arial" w:hAnsi="Arial" w:cs="Arial"/>
              </w:rPr>
              <w:t>$122</w:t>
            </w:r>
          </w:p>
        </w:tc>
        <w:tc>
          <w:tcPr>
            <w:tcW w:w="1195" w:type="dxa"/>
          </w:tcPr>
          <w:p w14:paraId="476D57A3" w14:textId="3D219086" w:rsidR="00467AFE" w:rsidRPr="00881BA6" w:rsidRDefault="00467AFE" w:rsidP="00C11BEB">
            <w:pPr>
              <w:rPr>
                <w:rFonts w:ascii="Arial" w:hAnsi="Arial" w:cs="Arial"/>
              </w:rPr>
            </w:pPr>
            <w:r>
              <w:rPr>
                <w:rFonts w:ascii="Arial" w:hAnsi="Arial" w:cs="Arial"/>
              </w:rPr>
              <w:t>$125</w:t>
            </w:r>
          </w:p>
        </w:tc>
        <w:tc>
          <w:tcPr>
            <w:tcW w:w="1195" w:type="dxa"/>
          </w:tcPr>
          <w:p w14:paraId="48C7D6F7" w14:textId="291C0240" w:rsidR="00467AFE" w:rsidRPr="00881BA6" w:rsidRDefault="00467AFE" w:rsidP="00C11BEB">
            <w:pPr>
              <w:rPr>
                <w:rFonts w:ascii="Arial" w:hAnsi="Arial" w:cs="Arial"/>
              </w:rPr>
            </w:pPr>
            <w:r>
              <w:rPr>
                <w:rFonts w:ascii="Arial" w:hAnsi="Arial" w:cs="Arial"/>
              </w:rPr>
              <w:t>$129</w:t>
            </w:r>
          </w:p>
        </w:tc>
        <w:tc>
          <w:tcPr>
            <w:tcW w:w="1195" w:type="dxa"/>
          </w:tcPr>
          <w:p w14:paraId="358E97E6" w14:textId="4D3C5024" w:rsidR="00467AFE" w:rsidRPr="00881BA6" w:rsidRDefault="00467AFE" w:rsidP="00C11BEB">
            <w:pPr>
              <w:rPr>
                <w:rFonts w:ascii="Arial" w:hAnsi="Arial" w:cs="Arial"/>
              </w:rPr>
            </w:pPr>
            <w:r>
              <w:rPr>
                <w:rFonts w:ascii="Arial" w:hAnsi="Arial" w:cs="Arial"/>
              </w:rPr>
              <w:t>$133</w:t>
            </w:r>
          </w:p>
        </w:tc>
        <w:tc>
          <w:tcPr>
            <w:tcW w:w="1195" w:type="dxa"/>
          </w:tcPr>
          <w:p w14:paraId="3A66280C" w14:textId="0443BE75" w:rsidR="00467AFE" w:rsidRPr="00881BA6" w:rsidRDefault="00467AFE" w:rsidP="00C11BEB">
            <w:pPr>
              <w:rPr>
                <w:rFonts w:ascii="Arial" w:hAnsi="Arial" w:cs="Arial"/>
              </w:rPr>
            </w:pPr>
            <w:r>
              <w:rPr>
                <w:rFonts w:ascii="Arial" w:hAnsi="Arial" w:cs="Arial"/>
              </w:rPr>
              <w:t>$137</w:t>
            </w:r>
          </w:p>
        </w:tc>
        <w:tc>
          <w:tcPr>
            <w:tcW w:w="1195" w:type="dxa"/>
          </w:tcPr>
          <w:p w14:paraId="7C1B37DC" w14:textId="2CC5AD4D" w:rsidR="00467AFE" w:rsidRPr="00881BA6" w:rsidRDefault="00467AFE" w:rsidP="00C11BEB">
            <w:pPr>
              <w:rPr>
                <w:rFonts w:ascii="Arial" w:hAnsi="Arial" w:cs="Arial"/>
              </w:rPr>
            </w:pPr>
            <w:r>
              <w:rPr>
                <w:rFonts w:ascii="Arial" w:hAnsi="Arial" w:cs="Arial"/>
              </w:rPr>
              <w:t>$141</w:t>
            </w:r>
          </w:p>
        </w:tc>
        <w:tc>
          <w:tcPr>
            <w:tcW w:w="1195" w:type="dxa"/>
          </w:tcPr>
          <w:p w14:paraId="3B3AFB84" w14:textId="6847696F" w:rsidR="00467AFE" w:rsidRPr="00881BA6" w:rsidRDefault="00467AFE" w:rsidP="00C11BEB">
            <w:pPr>
              <w:rPr>
                <w:rFonts w:ascii="Arial" w:hAnsi="Arial" w:cs="Arial"/>
              </w:rPr>
            </w:pPr>
            <w:r>
              <w:rPr>
                <w:rFonts w:ascii="Arial" w:hAnsi="Arial" w:cs="Arial"/>
              </w:rPr>
              <w:t>$145</w:t>
            </w:r>
          </w:p>
        </w:tc>
        <w:tc>
          <w:tcPr>
            <w:tcW w:w="1195" w:type="dxa"/>
          </w:tcPr>
          <w:p w14:paraId="28049FEB" w14:textId="1EF94EF5" w:rsidR="00467AFE" w:rsidRDefault="00467AFE" w:rsidP="00C11BEB">
            <w:pPr>
              <w:rPr>
                <w:rFonts w:ascii="Arial" w:hAnsi="Arial" w:cs="Arial"/>
              </w:rPr>
            </w:pPr>
            <w:r>
              <w:rPr>
                <w:rFonts w:ascii="Arial" w:hAnsi="Arial" w:cs="Arial"/>
              </w:rPr>
              <w:t>$150</w:t>
            </w:r>
          </w:p>
        </w:tc>
        <w:tc>
          <w:tcPr>
            <w:tcW w:w="987" w:type="dxa"/>
          </w:tcPr>
          <w:p w14:paraId="1EF48FEB" w14:textId="6A3135CA" w:rsidR="00467AFE" w:rsidRDefault="00467AFE" w:rsidP="00C11BEB">
            <w:pPr>
              <w:rPr>
                <w:rFonts w:ascii="Arial" w:hAnsi="Arial" w:cs="Arial"/>
              </w:rPr>
            </w:pPr>
            <w:r>
              <w:rPr>
                <w:rFonts w:ascii="Arial" w:hAnsi="Arial" w:cs="Arial"/>
              </w:rPr>
              <w:t>$154</w:t>
            </w:r>
          </w:p>
        </w:tc>
      </w:tr>
    </w:tbl>
    <w:p w14:paraId="204D44A0" w14:textId="77777777" w:rsidR="008A29F8" w:rsidRPr="00881BA6" w:rsidRDefault="008A29F8">
      <w:pPr>
        <w:rPr>
          <w:rFonts w:ascii="Arial" w:hAnsi="Arial" w:cs="Arial"/>
        </w:rPr>
      </w:pPr>
    </w:p>
    <w:p w14:paraId="4F4E7BD3" w14:textId="1846A951" w:rsidR="008A29F8" w:rsidRPr="00881BA6" w:rsidRDefault="008A29F8">
      <w:pPr>
        <w:rPr>
          <w:rFonts w:ascii="Arial" w:hAnsi="Arial" w:cs="Arial"/>
        </w:rPr>
      </w:pPr>
      <w:r w:rsidRPr="00881BA6">
        <w:rPr>
          <w:rFonts w:ascii="Arial" w:hAnsi="Arial" w:cs="Arial"/>
          <w:b/>
        </w:rPr>
        <w:t>Fall &amp; Spring Stipend Rates</w:t>
      </w:r>
      <w:r w:rsidR="002C0F01">
        <w:rPr>
          <w:rFonts w:ascii="Arial" w:hAnsi="Arial" w:cs="Arial"/>
          <w:b/>
        </w:rPr>
        <w:t xml:space="preserve">                    Summer Stipend Rates</w:t>
      </w:r>
      <w:r w:rsidRPr="00881BA6">
        <w:rPr>
          <w:rFonts w:ascii="Arial" w:hAnsi="Arial" w:cs="Arial"/>
          <w:b/>
        </w:rPr>
        <w:t>:</w:t>
      </w:r>
      <w:r w:rsidRPr="00881BA6">
        <w:rPr>
          <w:rFonts w:ascii="Arial" w:hAnsi="Arial" w:cs="Arial"/>
        </w:rPr>
        <w:t xml:space="preserve"> (Based on 20-hour per week assistants)</w:t>
      </w:r>
      <w:r w:rsidR="00B31897">
        <w:rPr>
          <w:rFonts w:ascii="Arial" w:hAnsi="Arial" w:cs="Arial"/>
        </w:rPr>
        <w:t>**</w:t>
      </w:r>
    </w:p>
    <w:p w14:paraId="10F1355B" w14:textId="4FBFC8D6" w:rsidR="008A29F8" w:rsidRPr="00881BA6" w:rsidRDefault="008A29F8" w:rsidP="005D6DAA">
      <w:pPr>
        <w:pStyle w:val="NoSpacing"/>
        <w:rPr>
          <w:rFonts w:ascii="Arial" w:hAnsi="Arial" w:cs="Arial"/>
        </w:rPr>
      </w:pPr>
      <w:r w:rsidRPr="00881BA6">
        <w:rPr>
          <w:rFonts w:ascii="Arial" w:hAnsi="Arial" w:cs="Arial"/>
        </w:rPr>
        <w:t xml:space="preserve">Level </w:t>
      </w:r>
      <w:r w:rsidR="00034209" w:rsidRPr="00881BA6">
        <w:rPr>
          <w:rFonts w:ascii="Arial" w:hAnsi="Arial" w:cs="Arial"/>
        </w:rPr>
        <w:t>I</w:t>
      </w:r>
      <w:r w:rsidR="00034209" w:rsidRPr="00881BA6">
        <w:rPr>
          <w:rFonts w:ascii="Arial" w:hAnsi="Arial" w:cs="Arial"/>
        </w:rPr>
        <w:tab/>
      </w:r>
      <w:r w:rsidRPr="00881BA6">
        <w:rPr>
          <w:rFonts w:ascii="Arial" w:hAnsi="Arial" w:cs="Arial"/>
        </w:rPr>
        <w:tab/>
        <w:t>= $4,500 - $12,</w:t>
      </w:r>
      <w:r w:rsidR="006B33AA">
        <w:rPr>
          <w:rFonts w:ascii="Arial" w:hAnsi="Arial" w:cs="Arial"/>
        </w:rPr>
        <w:t>5</w:t>
      </w:r>
      <w:r w:rsidRPr="00881BA6">
        <w:rPr>
          <w:rFonts w:ascii="Arial" w:hAnsi="Arial" w:cs="Arial"/>
        </w:rPr>
        <w:t>00</w:t>
      </w:r>
      <w:r w:rsidR="00EC23E7">
        <w:rPr>
          <w:rFonts w:ascii="Arial" w:hAnsi="Arial" w:cs="Arial"/>
        </w:rPr>
        <w:t xml:space="preserve"> </w:t>
      </w:r>
      <w:r w:rsidR="002C0F01">
        <w:rPr>
          <w:rFonts w:ascii="Arial" w:hAnsi="Arial" w:cs="Arial"/>
        </w:rPr>
        <w:t xml:space="preserve">            Level I</w:t>
      </w:r>
      <w:r w:rsidR="002C0F01">
        <w:rPr>
          <w:rFonts w:ascii="Arial" w:hAnsi="Arial" w:cs="Arial"/>
        </w:rPr>
        <w:tab/>
        <w:t>=$2,700 - $8,500</w:t>
      </w:r>
    </w:p>
    <w:p w14:paraId="1098A686" w14:textId="5A2EC5C1" w:rsidR="008A29F8" w:rsidRPr="00881BA6" w:rsidRDefault="008A29F8" w:rsidP="005D6DAA">
      <w:pPr>
        <w:pStyle w:val="NoSpacing"/>
        <w:rPr>
          <w:rFonts w:ascii="Arial" w:hAnsi="Arial" w:cs="Arial"/>
        </w:rPr>
      </w:pPr>
      <w:r w:rsidRPr="00881BA6">
        <w:rPr>
          <w:rFonts w:ascii="Arial" w:hAnsi="Arial" w:cs="Arial"/>
        </w:rPr>
        <w:t>Level II</w:t>
      </w:r>
      <w:r w:rsidRPr="00881BA6">
        <w:rPr>
          <w:rFonts w:ascii="Arial" w:hAnsi="Arial" w:cs="Arial"/>
        </w:rPr>
        <w:tab/>
      </w:r>
      <w:r w:rsidRPr="00881BA6">
        <w:rPr>
          <w:rFonts w:ascii="Arial" w:hAnsi="Arial" w:cs="Arial"/>
        </w:rPr>
        <w:tab/>
        <w:t>= $5,000 - $14,000</w:t>
      </w:r>
      <w:r w:rsidR="002C0F01">
        <w:rPr>
          <w:rFonts w:ascii="Arial" w:hAnsi="Arial" w:cs="Arial"/>
        </w:rPr>
        <w:tab/>
        <w:t xml:space="preserve">        Level II</w:t>
      </w:r>
      <w:r w:rsidR="002C0F01">
        <w:rPr>
          <w:rFonts w:ascii="Arial" w:hAnsi="Arial" w:cs="Arial"/>
        </w:rPr>
        <w:tab/>
        <w:t>=$3,200 - $9,500</w:t>
      </w:r>
    </w:p>
    <w:p w14:paraId="4B391A93" w14:textId="7DD16AE3" w:rsidR="008A29F8" w:rsidRDefault="006B33AA" w:rsidP="005D6DAA">
      <w:pPr>
        <w:pStyle w:val="NoSpacing"/>
        <w:rPr>
          <w:rFonts w:ascii="Arial" w:hAnsi="Arial" w:cs="Arial"/>
        </w:rPr>
      </w:pPr>
      <w:r>
        <w:rPr>
          <w:rFonts w:ascii="Arial" w:hAnsi="Arial" w:cs="Arial"/>
        </w:rPr>
        <w:t>Level III</w:t>
      </w:r>
      <w:r>
        <w:rPr>
          <w:rFonts w:ascii="Arial" w:hAnsi="Arial" w:cs="Arial"/>
        </w:rPr>
        <w:tab/>
        <w:t>= $6,000 – $18,5</w:t>
      </w:r>
      <w:r w:rsidR="008A29F8" w:rsidRPr="00881BA6">
        <w:rPr>
          <w:rFonts w:ascii="Arial" w:hAnsi="Arial" w:cs="Arial"/>
        </w:rPr>
        <w:t>00</w:t>
      </w:r>
      <w:r w:rsidR="002C0F01">
        <w:rPr>
          <w:rFonts w:ascii="Arial" w:hAnsi="Arial" w:cs="Arial"/>
        </w:rPr>
        <w:tab/>
        <w:t xml:space="preserve">        Level III</w:t>
      </w:r>
      <w:r w:rsidR="002C0F01">
        <w:rPr>
          <w:rFonts w:ascii="Arial" w:hAnsi="Arial" w:cs="Arial"/>
        </w:rPr>
        <w:tab/>
        <w:t>=$3,700 - $12,500</w:t>
      </w:r>
    </w:p>
    <w:p w14:paraId="68BD6692" w14:textId="77777777" w:rsidR="00F6166E" w:rsidRDefault="00F6166E" w:rsidP="005D6DAA">
      <w:pPr>
        <w:pStyle w:val="NoSpacing"/>
        <w:rPr>
          <w:rFonts w:ascii="Arial" w:hAnsi="Arial" w:cs="Arial"/>
        </w:rPr>
      </w:pPr>
    </w:p>
    <w:p w14:paraId="4514E1D4" w14:textId="77777777" w:rsidR="00B31897" w:rsidRDefault="00B31897" w:rsidP="00B31897">
      <w:pPr>
        <w:pStyle w:val="NoSpacing"/>
        <w:rPr>
          <w:rFonts w:ascii="Arial" w:hAnsi="Arial" w:cs="Arial"/>
        </w:rPr>
      </w:pPr>
      <w:r>
        <w:rPr>
          <w:rFonts w:ascii="Arial" w:hAnsi="Arial" w:cs="Arial"/>
          <w:b/>
          <w:u w:val="single"/>
        </w:rPr>
        <w:t>NOTES:</w:t>
      </w:r>
    </w:p>
    <w:p w14:paraId="4D286658" w14:textId="77777777" w:rsidR="008A29F8" w:rsidRDefault="00B31897" w:rsidP="00B31897">
      <w:pPr>
        <w:pStyle w:val="NoSpacing"/>
        <w:rPr>
          <w:rFonts w:ascii="Arial" w:hAnsi="Arial" w:cs="Arial"/>
        </w:rPr>
      </w:pPr>
      <w:r>
        <w:rPr>
          <w:rFonts w:ascii="Arial" w:hAnsi="Arial" w:cs="Arial"/>
        </w:rPr>
        <w:t xml:space="preserve">*A flat </w:t>
      </w:r>
      <w:r w:rsidR="00851DBC">
        <w:rPr>
          <w:rFonts w:ascii="Arial" w:hAnsi="Arial" w:cs="Arial"/>
        </w:rPr>
        <w:t xml:space="preserve">rate of $350 will need to be added as a line in operating </w:t>
      </w:r>
      <w:r>
        <w:rPr>
          <w:rFonts w:ascii="Arial" w:hAnsi="Arial" w:cs="Arial"/>
        </w:rPr>
        <w:t xml:space="preserve">per </w:t>
      </w:r>
      <w:r w:rsidR="00851DBC">
        <w:rPr>
          <w:rFonts w:ascii="Arial" w:hAnsi="Arial" w:cs="Arial"/>
        </w:rPr>
        <w:t xml:space="preserve">full 12-month </w:t>
      </w:r>
      <w:r>
        <w:rPr>
          <w:rFonts w:ascii="Arial" w:hAnsi="Arial" w:cs="Arial"/>
        </w:rPr>
        <w:t xml:space="preserve">year for </w:t>
      </w:r>
      <w:r w:rsidR="00851DBC">
        <w:rPr>
          <w:rFonts w:ascii="Arial" w:hAnsi="Arial" w:cs="Arial"/>
        </w:rPr>
        <w:t>each GRA</w:t>
      </w:r>
      <w:r>
        <w:rPr>
          <w:rFonts w:ascii="Arial" w:hAnsi="Arial" w:cs="Arial"/>
        </w:rPr>
        <w:t xml:space="preserve"> proposed.</w:t>
      </w:r>
      <w:r w:rsidR="00851DBC">
        <w:rPr>
          <w:rFonts w:ascii="Arial" w:hAnsi="Arial" w:cs="Arial"/>
        </w:rPr>
        <w:t xml:space="preserve">  </w:t>
      </w:r>
    </w:p>
    <w:p w14:paraId="21EB2021" w14:textId="77777777" w:rsidR="00B31897" w:rsidRPr="00881BA6" w:rsidRDefault="00B31897" w:rsidP="00B31897">
      <w:pPr>
        <w:pStyle w:val="NoSpacing"/>
        <w:rPr>
          <w:rFonts w:ascii="Arial" w:hAnsi="Arial" w:cs="Arial"/>
        </w:rPr>
      </w:pPr>
    </w:p>
    <w:p w14:paraId="543C4384" w14:textId="36BF06C3" w:rsidR="005D6DAA" w:rsidRPr="00881BA6" w:rsidRDefault="005D6DAA">
      <w:pPr>
        <w:rPr>
          <w:rFonts w:ascii="Arial" w:hAnsi="Arial" w:cs="Arial"/>
        </w:rPr>
      </w:pPr>
      <w:r w:rsidRPr="00881BA6">
        <w:rPr>
          <w:rFonts w:ascii="Arial" w:hAnsi="Arial" w:cs="Arial"/>
        </w:rPr>
        <w:t>*</w:t>
      </w:r>
      <w:r w:rsidR="00B31897">
        <w:rPr>
          <w:rFonts w:ascii="Arial" w:hAnsi="Arial" w:cs="Arial"/>
        </w:rPr>
        <w:t>*</w:t>
      </w:r>
      <w:r w:rsidRPr="00881BA6">
        <w:rPr>
          <w:rFonts w:ascii="Arial" w:hAnsi="Arial" w:cs="Arial"/>
        </w:rPr>
        <w:t>Graduate assistantship support is classified according to three educational levels; Level 1 (pre-master’s), Level II (post-mater’s and/or passed the Ph.D preliminary/comprehensive), Level III (passed the Ph.D Qualifying Examination).  Stipend ranges for each assistant are set by each department or program, subject to the ranges set by the Graduate School and reviewed by the Graduate Council each spring for the following academic year.</w:t>
      </w:r>
      <w:r w:rsidR="002C0F01">
        <w:rPr>
          <w:rFonts w:ascii="Arial" w:hAnsi="Arial" w:cs="Arial"/>
        </w:rPr>
        <w:t xml:space="preserve">  </w:t>
      </w:r>
      <w:r w:rsidR="002C0F01">
        <w:rPr>
          <w:rFonts w:ascii="Arial" w:hAnsi="Arial" w:cs="Arial"/>
          <w:color w:val="29282A"/>
          <w:sz w:val="27"/>
          <w:szCs w:val="27"/>
          <w:shd w:val="clear" w:color="auto" w:fill="FFFFFF"/>
        </w:rPr>
        <w:t> </w:t>
      </w:r>
      <w:r w:rsidR="002C0F01" w:rsidRPr="00467AFE">
        <w:rPr>
          <w:rFonts w:ascii="Arial" w:hAnsi="Arial" w:cs="Arial"/>
          <w:b/>
          <w:bCs/>
          <w:color w:val="29282A"/>
          <w:highlight w:val="yellow"/>
          <w:shd w:val="clear" w:color="auto" w:fill="FFFFFF"/>
        </w:rPr>
        <w:t>Students supported on a </w:t>
      </w:r>
      <w:r w:rsidR="002C0F01" w:rsidRPr="00467AFE">
        <w:rPr>
          <w:rStyle w:val="Strong"/>
          <w:rFonts w:ascii="Arial" w:hAnsi="Arial" w:cs="Arial"/>
          <w:color w:val="29282A"/>
          <w:highlight w:val="yellow"/>
          <w:shd w:val="clear" w:color="auto" w:fill="FFFFFF"/>
        </w:rPr>
        <w:t>research assistantship</w:t>
      </w:r>
      <w:r w:rsidR="002C0F01" w:rsidRPr="00467AFE">
        <w:rPr>
          <w:rFonts w:ascii="Arial" w:hAnsi="Arial" w:cs="Arial"/>
          <w:b/>
          <w:bCs/>
          <w:color w:val="29282A"/>
          <w:highlight w:val="yellow"/>
          <w:shd w:val="clear" w:color="auto" w:fill="FFFFFF"/>
        </w:rPr>
        <w:t> may receive a higher stipend at the discretion of the principal investigator/faculty supervisor.</w:t>
      </w:r>
    </w:p>
    <w:sectPr w:rsidR="005D6DAA" w:rsidRPr="00881BA6" w:rsidSect="005D6D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6D"/>
    <w:rsid w:val="00034209"/>
    <w:rsid w:val="000B544E"/>
    <w:rsid w:val="002A0671"/>
    <w:rsid w:val="002B4B2D"/>
    <w:rsid w:val="002C0F01"/>
    <w:rsid w:val="00310A19"/>
    <w:rsid w:val="003501B8"/>
    <w:rsid w:val="003A46D4"/>
    <w:rsid w:val="003C56A6"/>
    <w:rsid w:val="003D4223"/>
    <w:rsid w:val="003E256B"/>
    <w:rsid w:val="00467AFE"/>
    <w:rsid w:val="005006F3"/>
    <w:rsid w:val="00563589"/>
    <w:rsid w:val="005C7E45"/>
    <w:rsid w:val="005D6DAA"/>
    <w:rsid w:val="006372CA"/>
    <w:rsid w:val="006B33AA"/>
    <w:rsid w:val="007B3071"/>
    <w:rsid w:val="00837673"/>
    <w:rsid w:val="00851DBC"/>
    <w:rsid w:val="00880EC3"/>
    <w:rsid w:val="00881BA6"/>
    <w:rsid w:val="008A29F8"/>
    <w:rsid w:val="00942CC6"/>
    <w:rsid w:val="009E0542"/>
    <w:rsid w:val="00A026F4"/>
    <w:rsid w:val="00A22E61"/>
    <w:rsid w:val="00AA028F"/>
    <w:rsid w:val="00B01152"/>
    <w:rsid w:val="00B0256A"/>
    <w:rsid w:val="00B31897"/>
    <w:rsid w:val="00B7083F"/>
    <w:rsid w:val="00C1108A"/>
    <w:rsid w:val="00C11BEB"/>
    <w:rsid w:val="00CE09E3"/>
    <w:rsid w:val="00CF27BD"/>
    <w:rsid w:val="00D3536D"/>
    <w:rsid w:val="00D653E6"/>
    <w:rsid w:val="00DD75D2"/>
    <w:rsid w:val="00E324F7"/>
    <w:rsid w:val="00E3402A"/>
    <w:rsid w:val="00EC23E7"/>
    <w:rsid w:val="00F121A1"/>
    <w:rsid w:val="00F6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3126"/>
  <w15:chartTrackingRefBased/>
  <w15:docId w15:val="{81EFBCF1-E94F-455B-AE75-FD665B09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36D"/>
    <w:rPr>
      <w:color w:val="0563C1" w:themeColor="hyperlink"/>
      <w:u w:val="single"/>
    </w:rPr>
  </w:style>
  <w:style w:type="table" w:styleId="TableGrid">
    <w:name w:val="Table Grid"/>
    <w:basedOn w:val="TableNormal"/>
    <w:uiPriority w:val="39"/>
    <w:rsid w:val="008A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6DAA"/>
    <w:pPr>
      <w:spacing w:after="0" w:line="240" w:lineRule="auto"/>
    </w:pPr>
  </w:style>
  <w:style w:type="character" w:styleId="FollowedHyperlink">
    <w:name w:val="FollowedHyperlink"/>
    <w:basedOn w:val="DefaultParagraphFont"/>
    <w:uiPriority w:val="99"/>
    <w:semiHidden/>
    <w:unhideWhenUsed/>
    <w:rsid w:val="007B3071"/>
    <w:rPr>
      <w:color w:val="954F72" w:themeColor="followedHyperlink"/>
      <w:u w:val="single"/>
    </w:rPr>
  </w:style>
  <w:style w:type="paragraph" w:styleId="BalloonText">
    <w:name w:val="Balloon Text"/>
    <w:basedOn w:val="Normal"/>
    <w:link w:val="BalloonTextChar"/>
    <w:uiPriority w:val="99"/>
    <w:semiHidden/>
    <w:unhideWhenUsed/>
    <w:rsid w:val="00CE0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E3"/>
    <w:rPr>
      <w:rFonts w:ascii="Segoe UI" w:hAnsi="Segoe UI" w:cs="Segoe UI"/>
      <w:sz w:val="18"/>
      <w:szCs w:val="18"/>
    </w:rPr>
  </w:style>
  <w:style w:type="character" w:styleId="UnresolvedMention">
    <w:name w:val="Unresolved Mention"/>
    <w:basedOn w:val="DefaultParagraphFont"/>
    <w:uiPriority w:val="99"/>
    <w:semiHidden/>
    <w:unhideWhenUsed/>
    <w:rsid w:val="009E0542"/>
    <w:rPr>
      <w:color w:val="605E5C"/>
      <w:shd w:val="clear" w:color="auto" w:fill="E1DFDD"/>
    </w:rPr>
  </w:style>
  <w:style w:type="character" w:styleId="Strong">
    <w:name w:val="Strong"/>
    <w:basedOn w:val="DefaultParagraphFont"/>
    <w:uiPriority w:val="22"/>
    <w:qFormat/>
    <w:rsid w:val="002C0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ah.edu/admissions/graduate/financial-aid/assistant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ah.edu/graduate/faqs" TargetMode="External"/><Relationship Id="rId5" Type="http://schemas.openxmlformats.org/officeDocument/2006/relationships/hyperlink" Target="https://myahpcare.com/wp-content/uploads/UAH_INTL_GA_PC-25-26.pdf" TargetMode="External"/><Relationship Id="rId4" Type="http://schemas.openxmlformats.org/officeDocument/2006/relationships/hyperlink" Target="http://www.uah.edu/bursar/tui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Cole-Jones</dc:creator>
  <cp:keywords/>
  <dc:description/>
  <cp:lastModifiedBy>Kenya Cole</cp:lastModifiedBy>
  <cp:revision>3</cp:revision>
  <cp:lastPrinted>2022-10-19T12:51:00Z</cp:lastPrinted>
  <dcterms:created xsi:type="dcterms:W3CDTF">2025-09-03T20:53:00Z</dcterms:created>
  <dcterms:modified xsi:type="dcterms:W3CDTF">2025-09-03T21:01:00Z</dcterms:modified>
</cp:coreProperties>
</file>