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30A67" w14:textId="77777777" w:rsidR="00F610E0" w:rsidRDefault="00F610E0" w:rsidP="00F610E0">
      <w:pPr>
        <w:jc w:val="center"/>
        <w:rPr>
          <w:rFonts w:ascii="Times New Roman" w:hAnsi="Times New Roman" w:cs="Times New Roman"/>
          <w:b/>
          <w:sz w:val="36"/>
          <w:szCs w:val="36"/>
        </w:rPr>
      </w:pPr>
      <w:r>
        <w:rPr>
          <w:rFonts w:ascii="Times New Roman" w:hAnsi="Times New Roman" w:cs="Times New Roman"/>
          <w:b/>
          <w:sz w:val="36"/>
          <w:szCs w:val="36"/>
        </w:rPr>
        <w:t>THE UNIVERSITY OF ALABAMA IN HUNTSVILLE</w:t>
      </w:r>
    </w:p>
    <w:p w14:paraId="6242F4B2" w14:textId="77777777" w:rsidR="00F610E0" w:rsidRDefault="00F610E0" w:rsidP="00F610E0">
      <w:pPr>
        <w:jc w:val="center"/>
        <w:rPr>
          <w:rFonts w:ascii="Times New Roman" w:hAnsi="Times New Roman" w:cs="Times New Roman"/>
          <w:b/>
          <w:sz w:val="36"/>
          <w:szCs w:val="36"/>
        </w:rPr>
      </w:pPr>
      <w:r>
        <w:rPr>
          <w:rFonts w:ascii="Times New Roman" w:hAnsi="Times New Roman" w:cs="Times New Roman"/>
          <w:b/>
          <w:sz w:val="36"/>
          <w:szCs w:val="36"/>
        </w:rPr>
        <w:t>FACULTY SENATE</w:t>
      </w:r>
    </w:p>
    <w:p w14:paraId="3DB2445B" w14:textId="77777777" w:rsidR="00F610E0" w:rsidRDefault="00F610E0" w:rsidP="00F610E0">
      <w:pPr>
        <w:jc w:val="center"/>
        <w:rPr>
          <w:rFonts w:ascii="Times New Roman" w:hAnsi="Times New Roman" w:cs="Times New Roman"/>
          <w:b/>
          <w:sz w:val="20"/>
          <w:szCs w:val="36"/>
        </w:rPr>
      </w:pPr>
    </w:p>
    <w:p w14:paraId="5502A8CC" w14:textId="77777777" w:rsidR="0000234F" w:rsidRDefault="00F610E0" w:rsidP="0000234F">
      <w:pPr>
        <w:spacing w:after="0"/>
        <w:rPr>
          <w:rFonts w:ascii="Times New Roman" w:hAnsi="Times New Roman" w:cs="Times New Roman"/>
          <w:b/>
          <w:sz w:val="28"/>
          <w:szCs w:val="28"/>
        </w:rPr>
      </w:pPr>
      <w:r w:rsidRPr="00B90AF7">
        <w:rPr>
          <w:rFonts w:ascii="Times New Roman" w:hAnsi="Times New Roman" w:cs="Times New Roman"/>
          <w:b/>
          <w:sz w:val="28"/>
          <w:szCs w:val="28"/>
        </w:rPr>
        <w:t>FACULTY SENATE RESOLUTION 17/18-0</w:t>
      </w:r>
      <w:r>
        <w:rPr>
          <w:rFonts w:ascii="Times New Roman" w:hAnsi="Times New Roman" w:cs="Times New Roman"/>
          <w:b/>
          <w:sz w:val="28"/>
          <w:szCs w:val="28"/>
        </w:rPr>
        <w:t>2</w:t>
      </w:r>
      <w:r w:rsidRPr="00B90AF7">
        <w:rPr>
          <w:rFonts w:ascii="Times New Roman" w:hAnsi="Times New Roman" w:cs="Times New Roman"/>
          <w:b/>
          <w:sz w:val="28"/>
          <w:szCs w:val="28"/>
        </w:rPr>
        <w:t xml:space="preserve">: </w:t>
      </w:r>
      <w:r>
        <w:rPr>
          <w:rFonts w:ascii="Times New Roman" w:hAnsi="Times New Roman" w:cs="Times New Roman"/>
          <w:b/>
          <w:sz w:val="28"/>
          <w:szCs w:val="28"/>
        </w:rPr>
        <w:t xml:space="preserve">  </w:t>
      </w:r>
    </w:p>
    <w:p w14:paraId="1D18A0CC" w14:textId="621272AC" w:rsidR="00F610E0" w:rsidRDefault="00F610E0" w:rsidP="0000234F">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54DD86DA" w14:textId="0F325574" w:rsidR="00F610E0" w:rsidRDefault="00F610E0" w:rsidP="0000234F">
      <w:pPr>
        <w:pBdr>
          <w:bottom w:val="single" w:sz="6" w:space="1" w:color="auto"/>
        </w:pBdr>
        <w:spacing w:after="0"/>
        <w:jc w:val="center"/>
        <w:rPr>
          <w:rFonts w:ascii="Times New Roman" w:hAnsi="Times New Roman" w:cs="Times New Roman"/>
          <w:b/>
          <w:sz w:val="28"/>
          <w:szCs w:val="24"/>
        </w:rPr>
      </w:pPr>
      <w:r w:rsidRPr="00F610E0">
        <w:rPr>
          <w:rFonts w:ascii="Times New Roman" w:hAnsi="Times New Roman" w:cs="Times New Roman"/>
          <w:b/>
          <w:sz w:val="28"/>
          <w:szCs w:val="24"/>
        </w:rPr>
        <w:t>Faculty Handbook Appendix</w:t>
      </w:r>
      <w:r>
        <w:rPr>
          <w:rFonts w:ascii="Times New Roman" w:hAnsi="Times New Roman" w:cs="Times New Roman"/>
          <w:b/>
          <w:sz w:val="28"/>
          <w:szCs w:val="24"/>
        </w:rPr>
        <w:t xml:space="preserve"> G</w:t>
      </w:r>
    </w:p>
    <w:p w14:paraId="7200B588" w14:textId="20411905" w:rsidR="00F610E0" w:rsidRPr="00B90AF7" w:rsidRDefault="00F610E0" w:rsidP="0000234F">
      <w:pPr>
        <w:pBdr>
          <w:bottom w:val="single" w:sz="6" w:space="1" w:color="auto"/>
        </w:pBdr>
        <w:spacing w:after="0"/>
        <w:jc w:val="center"/>
        <w:rPr>
          <w:rFonts w:ascii="Times New Roman" w:hAnsi="Times New Roman" w:cs="Times New Roman"/>
          <w:b/>
          <w:sz w:val="28"/>
          <w:szCs w:val="28"/>
        </w:rPr>
      </w:pPr>
      <w:r w:rsidRPr="00F610E0">
        <w:rPr>
          <w:rFonts w:ascii="Times New Roman" w:hAnsi="Times New Roman" w:cs="Times New Roman"/>
          <w:b/>
          <w:bCs/>
          <w:sz w:val="28"/>
          <w:szCs w:val="24"/>
        </w:rPr>
        <w:t>Patent Policy at the University of Alabama in Huntsville</w:t>
      </w:r>
    </w:p>
    <w:p w14:paraId="45605EA7" w14:textId="77777777" w:rsidR="00F610E0" w:rsidRDefault="00F610E0" w:rsidP="00F610E0">
      <w:pPr>
        <w:spacing w:after="0" w:line="240" w:lineRule="auto"/>
        <w:rPr>
          <w:rFonts w:ascii="Times New Roman" w:hAnsi="Times New Roman" w:cs="Times New Roman"/>
          <w:sz w:val="24"/>
          <w:szCs w:val="36"/>
        </w:rPr>
      </w:pPr>
    </w:p>
    <w:p w14:paraId="4207EE39" w14:textId="578ACE9D" w:rsidR="00F610E0" w:rsidRDefault="00F610E0" w:rsidP="00F610E0">
      <w:pPr>
        <w:spacing w:after="0" w:line="240" w:lineRule="auto"/>
        <w:rPr>
          <w:rFonts w:ascii="Times New Roman" w:hAnsi="Times New Roman" w:cs="Times New Roman"/>
          <w:sz w:val="24"/>
          <w:szCs w:val="36"/>
        </w:rPr>
      </w:pPr>
      <w:r>
        <w:rPr>
          <w:rFonts w:ascii="Times New Roman" w:hAnsi="Times New Roman" w:cs="Times New Roman"/>
          <w:sz w:val="24"/>
          <w:szCs w:val="36"/>
        </w:rPr>
        <w:t>History:</w:t>
      </w:r>
      <w:r>
        <w:rPr>
          <w:rFonts w:ascii="Times New Roman" w:hAnsi="Times New Roman" w:cs="Times New Roman"/>
          <w:sz w:val="24"/>
          <w:szCs w:val="36"/>
        </w:rPr>
        <w:tab/>
        <w:t>Bill 411 was submitted to FSEC for first reading on 9/14/2017</w:t>
      </w:r>
    </w:p>
    <w:p w14:paraId="454AE70F" w14:textId="59C465EE" w:rsidR="00F610E0" w:rsidRDefault="00F610E0" w:rsidP="00F610E0">
      <w:pPr>
        <w:spacing w:after="0" w:line="240" w:lineRule="auto"/>
        <w:rPr>
          <w:rFonts w:ascii="Times New Roman" w:hAnsi="Times New Roman" w:cs="Times New Roman"/>
          <w:sz w:val="24"/>
          <w:szCs w:val="36"/>
        </w:rPr>
      </w:pPr>
      <w:r>
        <w:rPr>
          <w:rFonts w:ascii="Times New Roman" w:hAnsi="Times New Roman" w:cs="Times New Roman"/>
          <w:sz w:val="24"/>
          <w:szCs w:val="36"/>
        </w:rPr>
        <w:tab/>
      </w:r>
      <w:r>
        <w:rPr>
          <w:rFonts w:ascii="Times New Roman" w:hAnsi="Times New Roman" w:cs="Times New Roman"/>
          <w:sz w:val="24"/>
          <w:szCs w:val="36"/>
        </w:rPr>
        <w:tab/>
        <w:t>Bill 41</w:t>
      </w:r>
      <w:r w:rsidR="001D6588">
        <w:rPr>
          <w:rFonts w:ascii="Times New Roman" w:hAnsi="Times New Roman" w:cs="Times New Roman"/>
          <w:sz w:val="24"/>
          <w:szCs w:val="36"/>
        </w:rPr>
        <w:t>1</w:t>
      </w:r>
      <w:r>
        <w:rPr>
          <w:rFonts w:ascii="Times New Roman" w:hAnsi="Times New Roman" w:cs="Times New Roman"/>
          <w:sz w:val="24"/>
          <w:szCs w:val="36"/>
        </w:rPr>
        <w:t xml:space="preserve"> passed first reading on FSEC on 9/14/2017</w:t>
      </w:r>
      <w:bookmarkStart w:id="0" w:name="_GoBack"/>
      <w:bookmarkEnd w:id="0"/>
    </w:p>
    <w:p w14:paraId="658F08EF" w14:textId="061CE53E" w:rsidR="00F610E0" w:rsidRDefault="00F610E0" w:rsidP="00F610E0">
      <w:pPr>
        <w:spacing w:after="0" w:line="240" w:lineRule="auto"/>
        <w:rPr>
          <w:rFonts w:ascii="Times New Roman" w:hAnsi="Times New Roman" w:cs="Times New Roman"/>
          <w:sz w:val="24"/>
          <w:szCs w:val="36"/>
        </w:rPr>
      </w:pPr>
      <w:r>
        <w:rPr>
          <w:rFonts w:ascii="Times New Roman" w:hAnsi="Times New Roman" w:cs="Times New Roman"/>
          <w:sz w:val="24"/>
          <w:szCs w:val="36"/>
        </w:rPr>
        <w:tab/>
      </w:r>
      <w:r>
        <w:rPr>
          <w:rFonts w:ascii="Times New Roman" w:hAnsi="Times New Roman" w:cs="Times New Roman"/>
          <w:sz w:val="24"/>
          <w:szCs w:val="36"/>
        </w:rPr>
        <w:tab/>
        <w:t>Bill 41</w:t>
      </w:r>
      <w:r w:rsidR="001D6588">
        <w:rPr>
          <w:rFonts w:ascii="Times New Roman" w:hAnsi="Times New Roman" w:cs="Times New Roman"/>
          <w:sz w:val="24"/>
          <w:szCs w:val="36"/>
        </w:rPr>
        <w:t>1</w:t>
      </w:r>
      <w:r>
        <w:rPr>
          <w:rFonts w:ascii="Times New Roman" w:hAnsi="Times New Roman" w:cs="Times New Roman"/>
          <w:sz w:val="24"/>
          <w:szCs w:val="36"/>
        </w:rPr>
        <w:t xml:space="preserve"> passed second reading in Faculty Senate unanimously on 9/21/2017</w:t>
      </w:r>
    </w:p>
    <w:p w14:paraId="3B569489" w14:textId="77777777" w:rsidR="00F610E0" w:rsidRDefault="00F610E0" w:rsidP="00F610E0">
      <w:pPr>
        <w:rPr>
          <w:rFonts w:ascii="Times New Roman" w:hAnsi="Times New Roman" w:cs="Times New Roman"/>
          <w:b/>
          <w:sz w:val="28"/>
          <w:szCs w:val="36"/>
        </w:rPr>
      </w:pPr>
    </w:p>
    <w:p w14:paraId="038D3233" w14:textId="17D67E67" w:rsidR="00F610E0" w:rsidRDefault="00F610E0" w:rsidP="00F610E0">
      <w:pPr>
        <w:ind w:left="1440" w:hanging="1440"/>
        <w:rPr>
          <w:rFonts w:ascii="Times New Roman" w:hAnsi="Times New Roman" w:cs="Times New Roman"/>
          <w:sz w:val="24"/>
        </w:rPr>
      </w:pPr>
      <w:r>
        <w:rPr>
          <w:rFonts w:ascii="Times New Roman" w:hAnsi="Times New Roman" w:cs="Times New Roman"/>
          <w:b/>
          <w:sz w:val="36"/>
        </w:rPr>
        <w:t>W</w:t>
      </w:r>
      <w:r>
        <w:rPr>
          <w:rFonts w:ascii="Times New Roman" w:hAnsi="Times New Roman" w:cs="Times New Roman"/>
          <w:b/>
          <w:sz w:val="24"/>
        </w:rPr>
        <w:t>hereas</w:t>
      </w:r>
      <w:r>
        <w:rPr>
          <w:rFonts w:ascii="Times New Roman" w:hAnsi="Times New Roman" w:cs="Times New Roman"/>
          <w:sz w:val="24"/>
        </w:rPr>
        <w:t xml:space="preserve"> </w:t>
      </w:r>
      <w:r>
        <w:rPr>
          <w:rFonts w:ascii="Times New Roman" w:hAnsi="Times New Roman" w:cs="Times New Roman"/>
          <w:sz w:val="24"/>
        </w:rPr>
        <w:tab/>
      </w:r>
      <w:r w:rsidRPr="00E97C6F">
        <w:rPr>
          <w:rFonts w:ascii="Times New Roman" w:hAnsi="Times New Roman" w:cs="Times New Roman"/>
          <w:sz w:val="24"/>
          <w:szCs w:val="24"/>
        </w:rPr>
        <w:t xml:space="preserve">A clear and up-to-date </w:t>
      </w:r>
      <w:r>
        <w:rPr>
          <w:rFonts w:ascii="Times New Roman" w:hAnsi="Times New Roman" w:cs="Times New Roman"/>
          <w:sz w:val="24"/>
          <w:szCs w:val="24"/>
        </w:rPr>
        <w:t>Patent and Patent Income Distribution</w:t>
      </w:r>
      <w:r w:rsidRPr="00E97C6F">
        <w:rPr>
          <w:rFonts w:ascii="Times New Roman" w:hAnsi="Times New Roman" w:cs="Times New Roman"/>
          <w:sz w:val="24"/>
          <w:szCs w:val="24"/>
        </w:rPr>
        <w:t xml:space="preserve"> Policy is important for the dissemination of creative research, and</w:t>
      </w:r>
    </w:p>
    <w:p w14:paraId="5ACB8D9E" w14:textId="77777777" w:rsidR="00F610E0" w:rsidRDefault="00F610E0" w:rsidP="00F610E0">
      <w:pPr>
        <w:rPr>
          <w:rFonts w:ascii="Times New Roman" w:hAnsi="Times New Roman" w:cs="Times New Roman"/>
          <w:sz w:val="24"/>
        </w:rPr>
      </w:pPr>
    </w:p>
    <w:p w14:paraId="4E04BDFD" w14:textId="39645562" w:rsidR="00F610E0" w:rsidRDefault="00F610E0" w:rsidP="00F610E0">
      <w:pPr>
        <w:ind w:left="1440" w:hanging="1440"/>
        <w:rPr>
          <w:rFonts w:ascii="Times New Roman" w:hAnsi="Times New Roman" w:cs="Times New Roman"/>
          <w:sz w:val="24"/>
        </w:rPr>
      </w:pPr>
      <w:r>
        <w:rPr>
          <w:rFonts w:ascii="Times New Roman" w:hAnsi="Times New Roman" w:cs="Times New Roman"/>
          <w:b/>
          <w:sz w:val="36"/>
        </w:rPr>
        <w:t>W</w:t>
      </w:r>
      <w:r>
        <w:rPr>
          <w:rFonts w:ascii="Times New Roman" w:hAnsi="Times New Roman" w:cs="Times New Roman"/>
          <w:b/>
          <w:sz w:val="24"/>
        </w:rPr>
        <w:t>hereas</w:t>
      </w:r>
      <w:r>
        <w:rPr>
          <w:rFonts w:ascii="Times New Roman" w:hAnsi="Times New Roman" w:cs="Times New Roman"/>
          <w:sz w:val="24"/>
        </w:rPr>
        <w:t xml:space="preserve"> </w:t>
      </w:r>
      <w:r>
        <w:rPr>
          <w:rFonts w:ascii="Times New Roman" w:hAnsi="Times New Roman" w:cs="Times New Roman"/>
          <w:sz w:val="24"/>
        </w:rPr>
        <w:tab/>
      </w:r>
      <w:r w:rsidRPr="00E97C6F">
        <w:rPr>
          <w:rFonts w:ascii="Times New Roman" w:hAnsi="Times New Roman" w:cs="Times New Roman"/>
          <w:sz w:val="24"/>
          <w:szCs w:val="24"/>
        </w:rPr>
        <w:t xml:space="preserve">A clear-and-up-to-date </w:t>
      </w:r>
      <w:r>
        <w:rPr>
          <w:rFonts w:ascii="Times New Roman" w:hAnsi="Times New Roman" w:cs="Times New Roman"/>
          <w:sz w:val="24"/>
          <w:szCs w:val="24"/>
        </w:rPr>
        <w:t>Patent</w:t>
      </w:r>
      <w:r w:rsidRPr="00E97C6F">
        <w:rPr>
          <w:rFonts w:ascii="Times New Roman" w:hAnsi="Times New Roman" w:cs="Times New Roman"/>
          <w:sz w:val="24"/>
          <w:szCs w:val="24"/>
        </w:rPr>
        <w:t xml:space="preserve"> Policy is important for faculty, staff, and students to receive proper credit and remuneration, and</w:t>
      </w:r>
    </w:p>
    <w:p w14:paraId="26F979B7" w14:textId="77777777" w:rsidR="00F610E0" w:rsidRDefault="00F610E0" w:rsidP="00F610E0">
      <w:pPr>
        <w:rPr>
          <w:rFonts w:ascii="Times New Roman" w:hAnsi="Times New Roman" w:cs="Times New Roman"/>
          <w:sz w:val="24"/>
        </w:rPr>
      </w:pPr>
    </w:p>
    <w:p w14:paraId="4BBF1D0C" w14:textId="1AFD3D0B" w:rsidR="00F610E0" w:rsidRDefault="00F610E0" w:rsidP="00F610E0">
      <w:pPr>
        <w:ind w:left="1440" w:hanging="1440"/>
        <w:rPr>
          <w:rFonts w:ascii="Times New Roman" w:hAnsi="Times New Roman" w:cs="Times New Roman"/>
          <w:sz w:val="24"/>
        </w:rPr>
      </w:pPr>
      <w:r>
        <w:rPr>
          <w:rFonts w:ascii="Times New Roman" w:hAnsi="Times New Roman" w:cs="Times New Roman"/>
          <w:b/>
          <w:sz w:val="36"/>
        </w:rPr>
        <w:t>W</w:t>
      </w:r>
      <w:r>
        <w:rPr>
          <w:rFonts w:ascii="Times New Roman" w:hAnsi="Times New Roman" w:cs="Times New Roman"/>
          <w:b/>
          <w:sz w:val="24"/>
        </w:rPr>
        <w:t>hereas</w:t>
      </w:r>
      <w:r>
        <w:rPr>
          <w:rFonts w:ascii="Times New Roman" w:hAnsi="Times New Roman" w:cs="Times New Roman"/>
          <w:b/>
          <w:sz w:val="24"/>
        </w:rPr>
        <w:tab/>
      </w:r>
      <w:r w:rsidRPr="00E97C6F">
        <w:rPr>
          <w:rFonts w:ascii="Times New Roman" w:hAnsi="Times New Roman" w:cs="Times New Roman"/>
          <w:sz w:val="24"/>
          <w:szCs w:val="24"/>
        </w:rPr>
        <w:t>consistency within the University of Alabama system is important so individuals from the three campuses are working within common standards</w:t>
      </w:r>
    </w:p>
    <w:p w14:paraId="7DCA3EB5" w14:textId="77777777" w:rsidR="00F610E0" w:rsidRDefault="00F610E0" w:rsidP="00F610E0">
      <w:pPr>
        <w:rPr>
          <w:rFonts w:ascii="Times New Roman" w:hAnsi="Times New Roman" w:cs="Times New Roman"/>
          <w:sz w:val="24"/>
        </w:rPr>
      </w:pPr>
    </w:p>
    <w:p w14:paraId="35C0B971" w14:textId="77777777" w:rsidR="00F610E0" w:rsidRDefault="00F610E0" w:rsidP="00F610E0">
      <w:pPr>
        <w:ind w:left="1440" w:hanging="1440"/>
        <w:rPr>
          <w:rFonts w:ascii="Times New Roman" w:hAnsi="Times New Roman" w:cs="Times New Roman"/>
          <w:sz w:val="24"/>
        </w:rPr>
      </w:pPr>
      <w:r>
        <w:rPr>
          <w:rFonts w:ascii="Times New Roman" w:hAnsi="Times New Roman" w:cs="Times New Roman"/>
          <w:b/>
          <w:sz w:val="36"/>
        </w:rPr>
        <w:t>T</w:t>
      </w:r>
      <w:r>
        <w:rPr>
          <w:rFonts w:ascii="Times New Roman" w:hAnsi="Times New Roman" w:cs="Times New Roman"/>
          <w:b/>
          <w:sz w:val="24"/>
        </w:rPr>
        <w:t>herefore</w:t>
      </w:r>
      <w:r>
        <w:rPr>
          <w:rFonts w:ascii="Times New Roman" w:hAnsi="Times New Roman" w:cs="Times New Roman"/>
          <w:sz w:val="24"/>
        </w:rPr>
        <w:t>, b</w:t>
      </w:r>
      <w:r>
        <w:rPr>
          <w:rFonts w:ascii="Times New Roman" w:hAnsi="Times New Roman" w:cs="Times New Roman"/>
          <w:b/>
          <w:sz w:val="24"/>
        </w:rPr>
        <w:t>e it resolved</w:t>
      </w:r>
      <w:r>
        <w:rPr>
          <w:rFonts w:ascii="Times New Roman" w:hAnsi="Times New Roman" w:cs="Times New Roman"/>
          <w:sz w:val="24"/>
        </w:rPr>
        <w:t xml:space="preserve"> </w:t>
      </w:r>
    </w:p>
    <w:p w14:paraId="3D96EB9C" w14:textId="161F372E" w:rsidR="00F610E0" w:rsidRDefault="00F610E0" w:rsidP="00F610E0">
      <w:pPr>
        <w:rPr>
          <w:rFonts w:ascii="Times New Roman" w:hAnsi="Times New Roman" w:cs="Times New Roman"/>
          <w:sz w:val="24"/>
        </w:rPr>
      </w:pPr>
      <w:r>
        <w:rPr>
          <w:rFonts w:ascii="Times New Roman" w:hAnsi="Times New Roman" w:cs="Times New Roman"/>
          <w:sz w:val="24"/>
          <w:szCs w:val="24"/>
        </w:rPr>
        <w:t>T</w:t>
      </w:r>
      <w:r w:rsidRPr="00E97C6F">
        <w:rPr>
          <w:rFonts w:ascii="Times New Roman" w:hAnsi="Times New Roman" w:cs="Times New Roman"/>
          <w:sz w:val="24"/>
          <w:szCs w:val="24"/>
        </w:rPr>
        <w:t>hat the UAH Faculty Senate support the att</w:t>
      </w:r>
      <w:r>
        <w:rPr>
          <w:rFonts w:ascii="Times New Roman" w:hAnsi="Times New Roman" w:cs="Times New Roman"/>
          <w:sz w:val="24"/>
          <w:szCs w:val="24"/>
        </w:rPr>
        <w:t>ached Appendix G</w:t>
      </w:r>
      <w:r w:rsidRPr="00E97C6F">
        <w:rPr>
          <w:rFonts w:ascii="Times New Roman" w:hAnsi="Times New Roman" w:cs="Times New Roman"/>
          <w:sz w:val="24"/>
          <w:szCs w:val="24"/>
        </w:rPr>
        <w:t xml:space="preserve">, The University of Alabama in Huntsville </w:t>
      </w:r>
      <w:r>
        <w:rPr>
          <w:rFonts w:ascii="Times New Roman" w:hAnsi="Times New Roman" w:cs="Times New Roman"/>
          <w:sz w:val="24"/>
          <w:szCs w:val="24"/>
        </w:rPr>
        <w:t>Patent Policy</w:t>
      </w:r>
      <w:r>
        <w:rPr>
          <w:rFonts w:ascii="Times New Roman" w:hAnsi="Times New Roman" w:cs="Times New Roman"/>
          <w:sz w:val="24"/>
        </w:rPr>
        <w:t>.</w:t>
      </w:r>
    </w:p>
    <w:p w14:paraId="61D9850E" w14:textId="77777777" w:rsidR="00F610E0" w:rsidRDefault="00F610E0" w:rsidP="00F610E0">
      <w:pPr>
        <w:rPr>
          <w:rFonts w:ascii="Times New Roman" w:hAnsi="Times New Roman" w:cs="Times New Roman"/>
          <w:sz w:val="24"/>
        </w:rPr>
      </w:pPr>
    </w:p>
    <w:p w14:paraId="70D24B91" w14:textId="77777777" w:rsidR="00F610E0" w:rsidRDefault="00F610E0" w:rsidP="00F610E0">
      <w:pPr>
        <w:rPr>
          <w:rFonts w:ascii="Times New Roman" w:hAnsi="Times New Roman" w:cs="Times New Roman"/>
          <w:sz w:val="24"/>
        </w:rPr>
      </w:pPr>
      <w:r>
        <w:rPr>
          <w:rFonts w:ascii="Times New Roman" w:hAnsi="Times New Roman" w:cs="Times New Roman"/>
          <w:b/>
          <w:sz w:val="36"/>
          <w:szCs w:val="36"/>
        </w:rPr>
        <w:t>B</w:t>
      </w:r>
      <w:r>
        <w:rPr>
          <w:rFonts w:ascii="Times New Roman" w:hAnsi="Times New Roman" w:cs="Times New Roman"/>
          <w:b/>
          <w:sz w:val="24"/>
        </w:rPr>
        <w:t>e it further resolved</w:t>
      </w:r>
      <w:r>
        <w:rPr>
          <w:rFonts w:ascii="Times New Roman" w:hAnsi="Times New Roman" w:cs="Times New Roman"/>
          <w:sz w:val="24"/>
        </w:rPr>
        <w:t xml:space="preserve"> </w:t>
      </w:r>
    </w:p>
    <w:p w14:paraId="4EA9DF94" w14:textId="0F5EC396" w:rsidR="00F610E0" w:rsidRPr="00F610E0" w:rsidRDefault="00F610E0" w:rsidP="00F610E0">
      <w:pPr>
        <w:spacing w:after="0" w:line="240" w:lineRule="auto"/>
        <w:rPr>
          <w:rFonts w:ascii="Times New Roman" w:hAnsi="Times New Roman" w:cs="Times New Roman"/>
          <w:sz w:val="24"/>
          <w:szCs w:val="24"/>
        </w:rPr>
      </w:pPr>
      <w:r w:rsidRPr="004B51BD">
        <w:rPr>
          <w:rFonts w:ascii="Times New Roman" w:hAnsi="Times New Roman" w:cs="Times New Roman"/>
          <w:sz w:val="24"/>
          <w:szCs w:val="24"/>
        </w:rPr>
        <w:t>that the UAH Faculty Senate approves for inclusion in the Faculty Handbook the attached Appendix G, with that item replacing the p</w:t>
      </w:r>
      <w:r>
        <w:rPr>
          <w:rFonts w:ascii="Times New Roman" w:hAnsi="Times New Roman" w:cs="Times New Roman"/>
          <w:sz w:val="24"/>
          <w:szCs w:val="24"/>
        </w:rPr>
        <w:t>rior Appendix G of the Handbook</w:t>
      </w:r>
      <w:r>
        <w:rPr>
          <w:rFonts w:ascii="Times New Roman" w:hAnsi="Times New Roman" w:cs="Times New Roman"/>
          <w:sz w:val="24"/>
        </w:rPr>
        <w:t>.</w:t>
      </w:r>
    </w:p>
    <w:p w14:paraId="65F30BCD" w14:textId="77777777" w:rsidR="00F610E0" w:rsidRDefault="00F610E0" w:rsidP="00F610E0">
      <w:pPr>
        <w:rPr>
          <w:rFonts w:ascii="Times New Roman" w:hAnsi="Times New Roman" w:cs="Times New Roman"/>
          <w:sz w:val="24"/>
        </w:rPr>
      </w:pPr>
    </w:p>
    <w:p w14:paraId="17344AF9" w14:textId="3818ABE9" w:rsidR="00F610E0" w:rsidRDefault="00F610E0" w:rsidP="00F610E0">
      <w:pPr>
        <w:rPr>
          <w:rFonts w:ascii="Times New Roman" w:hAnsi="Times New Roman" w:cs="Times New Roman"/>
          <w:b/>
          <w:sz w:val="24"/>
        </w:rPr>
      </w:pPr>
      <w:r>
        <w:rPr>
          <w:rFonts w:ascii="Times New Roman" w:hAnsi="Times New Roman" w:cs="Times New Roman"/>
          <w:b/>
          <w:sz w:val="36"/>
          <w:szCs w:val="36"/>
        </w:rPr>
        <w:t>B</w:t>
      </w:r>
      <w:r>
        <w:rPr>
          <w:rFonts w:ascii="Times New Roman" w:hAnsi="Times New Roman" w:cs="Times New Roman"/>
          <w:b/>
          <w:sz w:val="24"/>
        </w:rPr>
        <w:t>e it further resolved</w:t>
      </w:r>
    </w:p>
    <w:p w14:paraId="55CEAC36" w14:textId="5617CCDB" w:rsidR="00F610E0" w:rsidRPr="00E97C6F" w:rsidRDefault="00F610E0" w:rsidP="00F610E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w:t>
      </w:r>
      <w:r w:rsidRPr="00E97C6F">
        <w:rPr>
          <w:rFonts w:ascii="Times New Roman" w:hAnsi="Times New Roman" w:cs="Times New Roman"/>
          <w:sz w:val="24"/>
          <w:szCs w:val="24"/>
        </w:rPr>
        <w:t>hat the accep</w:t>
      </w:r>
      <w:r>
        <w:rPr>
          <w:rFonts w:ascii="Times New Roman" w:hAnsi="Times New Roman" w:cs="Times New Roman"/>
          <w:sz w:val="24"/>
          <w:szCs w:val="24"/>
        </w:rPr>
        <w:t>tance of this policy, Appendix G</w:t>
      </w:r>
      <w:r w:rsidRPr="00E97C6F">
        <w:rPr>
          <w:rFonts w:ascii="Times New Roman" w:hAnsi="Times New Roman" w:cs="Times New Roman"/>
          <w:sz w:val="24"/>
          <w:szCs w:val="24"/>
        </w:rPr>
        <w:t xml:space="preserve"> of the UAH Faculty Handbook, negates the need for a separate </w:t>
      </w:r>
      <w:r>
        <w:rPr>
          <w:rFonts w:ascii="Times New Roman" w:hAnsi="Times New Roman" w:cs="Times New Roman"/>
          <w:sz w:val="24"/>
          <w:szCs w:val="24"/>
        </w:rPr>
        <w:t>Patent Policy (07.03.01) and Distribution of Income from Intellectual Property Proceeds (07.03.03)</w:t>
      </w:r>
      <w:r w:rsidRPr="00E97C6F">
        <w:rPr>
          <w:rFonts w:ascii="Times New Roman" w:hAnsi="Times New Roman" w:cs="Times New Roman"/>
          <w:sz w:val="24"/>
          <w:szCs w:val="24"/>
        </w:rPr>
        <w:t>, and said po</w:t>
      </w:r>
      <w:r>
        <w:rPr>
          <w:rFonts w:ascii="Times New Roman" w:hAnsi="Times New Roman" w:cs="Times New Roman"/>
          <w:sz w:val="24"/>
          <w:szCs w:val="24"/>
        </w:rPr>
        <w:t>lices are</w:t>
      </w:r>
      <w:r w:rsidRPr="00E97C6F">
        <w:rPr>
          <w:rFonts w:ascii="Times New Roman" w:hAnsi="Times New Roman" w:cs="Times New Roman"/>
          <w:sz w:val="24"/>
          <w:szCs w:val="24"/>
        </w:rPr>
        <w:t xml:space="preserve"> withdrawn.</w:t>
      </w:r>
    </w:p>
    <w:p w14:paraId="3250836D" w14:textId="77777777" w:rsidR="00F610E0" w:rsidRDefault="00F610E0" w:rsidP="00F610E0">
      <w:pPr>
        <w:rPr>
          <w:rFonts w:ascii="Times New Roman" w:hAnsi="Times New Roman" w:cs="Times New Roman"/>
          <w:sz w:val="16"/>
          <w:szCs w:val="16"/>
        </w:rPr>
      </w:pPr>
    </w:p>
    <w:p w14:paraId="051C646B" w14:textId="77777777" w:rsidR="004B51BD" w:rsidRDefault="004B51BD" w:rsidP="00B4293E">
      <w:pPr>
        <w:shd w:val="clear" w:color="auto" w:fill="FFFFFF"/>
        <w:spacing w:after="0" w:line="240" w:lineRule="auto"/>
        <w:outlineLvl w:val="1"/>
        <w:rPr>
          <w:rFonts w:ascii="Times New Roman" w:eastAsia="Times New Roman" w:hAnsi="Times New Roman" w:cs="Times New Roman"/>
          <w:b/>
          <w:bCs/>
          <w:sz w:val="24"/>
          <w:szCs w:val="24"/>
        </w:rPr>
      </w:pPr>
    </w:p>
    <w:p w14:paraId="7757EBA2" w14:textId="77777777" w:rsidR="00E97C6F" w:rsidRDefault="00E97C6F" w:rsidP="00B4293E">
      <w:pPr>
        <w:shd w:val="clear" w:color="auto" w:fill="FFFFFF"/>
        <w:spacing w:after="0" w:line="240" w:lineRule="auto"/>
        <w:outlineLvl w:val="1"/>
        <w:rPr>
          <w:rFonts w:ascii="Times New Roman" w:eastAsia="Times New Roman" w:hAnsi="Times New Roman" w:cs="Times New Roman"/>
          <w:b/>
          <w:bCs/>
          <w:sz w:val="24"/>
          <w:szCs w:val="24"/>
        </w:rPr>
      </w:pPr>
    </w:p>
    <w:p w14:paraId="417C416A" w14:textId="3A981484" w:rsidR="00B4293E" w:rsidRPr="00763401" w:rsidRDefault="00B4293E" w:rsidP="00B4293E">
      <w:pPr>
        <w:shd w:val="clear" w:color="auto" w:fill="FFFFFF"/>
        <w:spacing w:after="0" w:line="240" w:lineRule="auto"/>
        <w:outlineLvl w:val="1"/>
        <w:rPr>
          <w:rFonts w:ascii="Times New Roman" w:eastAsia="Times New Roman" w:hAnsi="Times New Roman" w:cs="Times New Roman"/>
          <w:b/>
          <w:bCs/>
          <w:sz w:val="24"/>
          <w:szCs w:val="24"/>
        </w:rPr>
      </w:pPr>
      <w:r w:rsidRPr="00763401">
        <w:rPr>
          <w:rFonts w:ascii="Times New Roman" w:eastAsia="Times New Roman" w:hAnsi="Times New Roman" w:cs="Times New Roman"/>
          <w:b/>
          <w:bCs/>
          <w:sz w:val="24"/>
          <w:szCs w:val="24"/>
        </w:rPr>
        <w:t>APPENDIX G: The University of Alabama</w:t>
      </w:r>
      <w:r w:rsidR="00763401" w:rsidRPr="00763401">
        <w:rPr>
          <w:rFonts w:ascii="Times New Roman" w:eastAsia="Times New Roman" w:hAnsi="Times New Roman" w:cs="Times New Roman"/>
          <w:b/>
          <w:bCs/>
          <w:sz w:val="24"/>
          <w:szCs w:val="24"/>
        </w:rPr>
        <w:t xml:space="preserve"> in Huntsville</w:t>
      </w:r>
      <w:r w:rsidRPr="00763401">
        <w:rPr>
          <w:rFonts w:ascii="Times New Roman" w:eastAsia="Times New Roman" w:hAnsi="Times New Roman" w:cs="Times New Roman"/>
          <w:b/>
          <w:bCs/>
          <w:sz w:val="24"/>
          <w:szCs w:val="24"/>
        </w:rPr>
        <w:t xml:space="preserve"> Patent Policy</w:t>
      </w:r>
    </w:p>
    <w:p w14:paraId="56E64BEF" w14:textId="77777777" w:rsidR="00B4293E" w:rsidRPr="00B4293E" w:rsidRDefault="00B4293E" w:rsidP="00B4293E">
      <w:pPr>
        <w:shd w:val="clear" w:color="auto" w:fill="FFFFFF"/>
        <w:spacing w:after="0" w:line="240" w:lineRule="auto"/>
        <w:rPr>
          <w:rFonts w:ascii="Times New Roman" w:eastAsia="Times New Roman" w:hAnsi="Times New Roman" w:cs="Times New Roman"/>
          <w:sz w:val="24"/>
          <w:szCs w:val="24"/>
        </w:rPr>
      </w:pPr>
      <w:r w:rsidRPr="00B4293E">
        <w:rPr>
          <w:rFonts w:ascii="Times New Roman" w:eastAsia="Times New Roman" w:hAnsi="Times New Roman" w:cs="Times New Roman"/>
          <w:sz w:val="24"/>
          <w:szCs w:val="24"/>
        </w:rPr>
        <w:t>In view of the far-reaching research in the various divisions of the University, it is inevitable that new discoverie</w:t>
      </w:r>
      <w:r w:rsidR="00B34075">
        <w:rPr>
          <w:rFonts w:ascii="Times New Roman" w:eastAsia="Times New Roman" w:hAnsi="Times New Roman" w:cs="Times New Roman"/>
          <w:sz w:val="24"/>
          <w:szCs w:val="24"/>
        </w:rPr>
        <w:t xml:space="preserve">s and inventions will be made.  </w:t>
      </w:r>
      <w:r w:rsidRPr="00B4293E">
        <w:rPr>
          <w:rFonts w:ascii="Times New Roman" w:eastAsia="Times New Roman" w:hAnsi="Times New Roman" w:cs="Times New Roman"/>
          <w:sz w:val="24"/>
          <w:szCs w:val="24"/>
        </w:rPr>
        <w:t>The University of Alabama</w:t>
      </w:r>
      <w:r w:rsidR="00B34075">
        <w:rPr>
          <w:rFonts w:ascii="Times New Roman" w:eastAsia="Times New Roman" w:hAnsi="Times New Roman" w:cs="Times New Roman"/>
          <w:sz w:val="24"/>
          <w:szCs w:val="24"/>
        </w:rPr>
        <w:t xml:space="preserve"> in Huntsville</w:t>
      </w:r>
      <w:r w:rsidRPr="00B4293E">
        <w:rPr>
          <w:rFonts w:ascii="Times New Roman" w:eastAsia="Times New Roman" w:hAnsi="Times New Roman" w:cs="Times New Roman"/>
          <w:sz w:val="24"/>
          <w:szCs w:val="24"/>
        </w:rPr>
        <w:t xml:space="preserve"> recognizes that the protection and control provided under the patent laws may have to be invoked to obtain the greatest public benefit and usefulness from the pr</w:t>
      </w:r>
      <w:r w:rsidR="00B34075">
        <w:rPr>
          <w:rFonts w:ascii="Times New Roman" w:eastAsia="Times New Roman" w:hAnsi="Times New Roman" w:cs="Times New Roman"/>
          <w:sz w:val="24"/>
          <w:szCs w:val="24"/>
        </w:rPr>
        <w:t xml:space="preserve">oducts of scientific research.  </w:t>
      </w:r>
      <w:r w:rsidRPr="00B4293E">
        <w:rPr>
          <w:rFonts w:ascii="Times New Roman" w:eastAsia="Times New Roman" w:hAnsi="Times New Roman" w:cs="Times New Roman"/>
          <w:sz w:val="24"/>
          <w:szCs w:val="24"/>
        </w:rPr>
        <w:t>It is recognized that employees of the University need assistance in determining and evaluating patentability and in prosecuting patent applican</w:t>
      </w:r>
      <w:r w:rsidR="00B34075">
        <w:rPr>
          <w:rFonts w:ascii="Times New Roman" w:eastAsia="Times New Roman" w:hAnsi="Times New Roman" w:cs="Times New Roman"/>
          <w:sz w:val="24"/>
          <w:szCs w:val="24"/>
        </w:rPr>
        <w:t xml:space="preserve">ts of inventions made by them.  </w:t>
      </w:r>
      <w:r w:rsidRPr="00B4293E">
        <w:rPr>
          <w:rFonts w:ascii="Times New Roman" w:eastAsia="Times New Roman" w:hAnsi="Times New Roman" w:cs="Times New Roman"/>
          <w:sz w:val="24"/>
          <w:szCs w:val="24"/>
        </w:rPr>
        <w:t xml:space="preserve">Many such inventions involve equities beyond those of the inventor himself or herself since the use of University facilities, the assignment of duties as a condition of employment, and the use of research funds with contractual obligations regarding patent rights give rise to complicated questions concerning rights </w:t>
      </w:r>
      <w:r w:rsidR="00B34075">
        <w:rPr>
          <w:rFonts w:ascii="Times New Roman" w:eastAsia="Times New Roman" w:hAnsi="Times New Roman" w:cs="Times New Roman"/>
          <w:sz w:val="24"/>
          <w:szCs w:val="24"/>
        </w:rPr>
        <w:t xml:space="preserve">and equities of all concerned.  </w:t>
      </w:r>
      <w:r w:rsidRPr="00B4293E">
        <w:rPr>
          <w:rFonts w:ascii="Times New Roman" w:eastAsia="Times New Roman" w:hAnsi="Times New Roman" w:cs="Times New Roman"/>
          <w:sz w:val="24"/>
          <w:szCs w:val="24"/>
        </w:rPr>
        <w:t>Therefore, in order to appraise relative rights and equities of all parties concerned, to facilitate patent applications, licensing, equitable distribution of any royalties or other financial returns, to provide a uniform procedure in patent matters, and to serve the public benefit and interest, The Board of Trustees of The University of Alabama</w:t>
      </w:r>
      <w:r w:rsidR="00B34075">
        <w:rPr>
          <w:rFonts w:ascii="Times New Roman" w:eastAsia="Times New Roman" w:hAnsi="Times New Roman" w:cs="Times New Roman"/>
          <w:sz w:val="24"/>
          <w:szCs w:val="24"/>
        </w:rPr>
        <w:t xml:space="preserve"> in Huntsville</w:t>
      </w:r>
      <w:r w:rsidRPr="00B4293E">
        <w:rPr>
          <w:rFonts w:ascii="Times New Roman" w:eastAsia="Times New Roman" w:hAnsi="Times New Roman" w:cs="Times New Roman"/>
          <w:sz w:val="24"/>
          <w:szCs w:val="24"/>
        </w:rPr>
        <w:t xml:space="preserve"> (herein called University), on recommendation of the President of the University, authorizes the establishment of a Patent Committee and the adoption of the patent policy as set forth herein.</w:t>
      </w:r>
      <w:r w:rsidR="00B34075">
        <w:rPr>
          <w:rFonts w:ascii="Times New Roman" w:eastAsia="Times New Roman" w:hAnsi="Times New Roman" w:cs="Times New Roman"/>
          <w:sz w:val="24"/>
          <w:szCs w:val="24"/>
        </w:rPr>
        <w:t xml:space="preserve">  This Appendix is intended to conform to the stipulations contained in Board of Trustee’s rule 509.</w:t>
      </w:r>
    </w:p>
    <w:p w14:paraId="5BFBF427" w14:textId="77777777" w:rsidR="00B4293E" w:rsidRPr="00B34075" w:rsidRDefault="00B4293E" w:rsidP="00B4293E">
      <w:pPr>
        <w:numPr>
          <w:ilvl w:val="0"/>
          <w:numId w:val="1"/>
        </w:numPr>
        <w:shd w:val="clear" w:color="auto" w:fill="FFFFFF"/>
        <w:spacing w:before="100" w:beforeAutospacing="1" w:after="240" w:line="240" w:lineRule="auto"/>
        <w:rPr>
          <w:rFonts w:ascii="Times New Roman" w:eastAsia="Times New Roman" w:hAnsi="Times New Roman" w:cs="Times New Roman"/>
          <w:sz w:val="24"/>
          <w:szCs w:val="24"/>
        </w:rPr>
      </w:pPr>
      <w:r w:rsidRPr="00B34075">
        <w:rPr>
          <w:rFonts w:ascii="Times New Roman" w:eastAsia="Times New Roman" w:hAnsi="Times New Roman" w:cs="Times New Roman"/>
          <w:sz w:val="24"/>
          <w:szCs w:val="24"/>
        </w:rPr>
        <w:t xml:space="preserve">The President of the University shall appoint a University Patent Committee composed of </w:t>
      </w:r>
      <w:r w:rsidR="00B34075" w:rsidRPr="00B34075">
        <w:rPr>
          <w:rFonts w:ascii="Times New Roman" w:eastAsia="Times New Roman" w:hAnsi="Times New Roman" w:cs="Times New Roman"/>
          <w:sz w:val="24"/>
          <w:szCs w:val="24"/>
        </w:rPr>
        <w:t>member’s</w:t>
      </w:r>
      <w:r w:rsidRPr="00B34075">
        <w:rPr>
          <w:rFonts w:ascii="Times New Roman" w:eastAsia="Times New Roman" w:hAnsi="Times New Roman" w:cs="Times New Roman"/>
          <w:sz w:val="24"/>
          <w:szCs w:val="24"/>
        </w:rPr>
        <w:t xml:space="preserve"> representative of the entire University to administer the patent policy and to designate a Patent Administrator to administer </w:t>
      </w:r>
      <w:r w:rsidR="00B34075">
        <w:rPr>
          <w:rFonts w:ascii="Times New Roman" w:eastAsia="Times New Roman" w:hAnsi="Times New Roman" w:cs="Times New Roman"/>
          <w:sz w:val="24"/>
          <w:szCs w:val="24"/>
        </w:rPr>
        <w:t xml:space="preserve">the policies of the committee.  </w:t>
      </w:r>
      <w:r w:rsidRPr="00B34075">
        <w:rPr>
          <w:rFonts w:ascii="Times New Roman" w:eastAsia="Times New Roman" w:hAnsi="Times New Roman" w:cs="Times New Roman"/>
          <w:sz w:val="24"/>
          <w:szCs w:val="24"/>
        </w:rPr>
        <w:t>This committee and the Patent Administrator shall serve at the pleasure of and their actions shall be subject to the approval and right of review of the President of the University.</w:t>
      </w:r>
    </w:p>
    <w:p w14:paraId="6BD25E52" w14:textId="77777777" w:rsidR="00B4293E" w:rsidRPr="00B34075" w:rsidRDefault="00B4293E" w:rsidP="00B4293E">
      <w:pPr>
        <w:numPr>
          <w:ilvl w:val="0"/>
          <w:numId w:val="1"/>
        </w:numPr>
        <w:shd w:val="clear" w:color="auto" w:fill="FFFFFF"/>
        <w:spacing w:before="100" w:beforeAutospacing="1" w:after="240" w:line="240" w:lineRule="auto"/>
        <w:rPr>
          <w:rFonts w:ascii="Times New Roman" w:eastAsia="Times New Roman" w:hAnsi="Times New Roman" w:cs="Times New Roman"/>
          <w:sz w:val="24"/>
          <w:szCs w:val="24"/>
        </w:rPr>
      </w:pPr>
      <w:r w:rsidRPr="00B34075">
        <w:rPr>
          <w:rFonts w:ascii="Times New Roman" w:eastAsia="Times New Roman" w:hAnsi="Times New Roman" w:cs="Times New Roman"/>
          <w:sz w:val="24"/>
          <w:szCs w:val="24"/>
        </w:rPr>
        <w:t>Subject to the approval of the President of the University, the Patent Committee shall have power to adopt such rules and procedures as are deemed appropriate; to determine the interest of the University in all reported inventions; to cause all reported inventions to be investigated in order to evaluate the interest of the University in said invention (with due consider</w:t>
      </w:r>
      <w:r w:rsidR="00B34075">
        <w:rPr>
          <w:rFonts w:ascii="Times New Roman" w:eastAsia="Times New Roman" w:hAnsi="Times New Roman" w:cs="Times New Roman"/>
          <w:sz w:val="24"/>
          <w:szCs w:val="24"/>
        </w:rPr>
        <w:t xml:space="preserve">ation given to the achievement </w:t>
      </w:r>
      <w:r w:rsidRPr="00B34075">
        <w:rPr>
          <w:rFonts w:ascii="Times New Roman" w:eastAsia="Times New Roman" w:hAnsi="Times New Roman" w:cs="Times New Roman"/>
          <w:sz w:val="24"/>
          <w:szCs w:val="24"/>
        </w:rPr>
        <w:t>of the inventor and the financial returns to the inventor and the University); to authorize the release of patent rights when the Patent Committee decides that the University has no interest in the invention or decides that the University does not desire to pursue the patenting or development of the patent; to authorize applications for patents on reported inventions and to retain patent counsel, in association with the Office of Counsel, for matters pertaining to patent applications; and to make recommendations to the President of the University with regard to the prosecution and protection thereof and any litiga</w:t>
      </w:r>
      <w:r w:rsidR="00B34075">
        <w:rPr>
          <w:rFonts w:ascii="Times New Roman" w:eastAsia="Times New Roman" w:hAnsi="Times New Roman" w:cs="Times New Roman"/>
          <w:sz w:val="24"/>
          <w:szCs w:val="24"/>
        </w:rPr>
        <w:t xml:space="preserve">tion that may arise therefrom.  </w:t>
      </w:r>
      <w:r w:rsidRPr="00B34075">
        <w:rPr>
          <w:rFonts w:ascii="Times New Roman" w:eastAsia="Times New Roman" w:hAnsi="Times New Roman" w:cs="Times New Roman"/>
          <w:sz w:val="24"/>
          <w:szCs w:val="24"/>
        </w:rPr>
        <w:t xml:space="preserve">The Patent Committee shall also have power to do all things appropriate for the investigation of patent rights and for the exploitation of patent rights by direct exercise, exclusive or nonexclusive licensing, and make recommendations to the President of the University </w:t>
      </w:r>
      <w:r w:rsidRPr="00B34075">
        <w:rPr>
          <w:rFonts w:ascii="Times New Roman" w:eastAsia="Times New Roman" w:hAnsi="Times New Roman" w:cs="Times New Roman"/>
          <w:sz w:val="24"/>
          <w:szCs w:val="24"/>
        </w:rPr>
        <w:lastRenderedPageBreak/>
        <w:t>with regard to partial or tot</w:t>
      </w:r>
      <w:r w:rsidR="00B34075">
        <w:rPr>
          <w:rFonts w:ascii="Times New Roman" w:eastAsia="Times New Roman" w:hAnsi="Times New Roman" w:cs="Times New Roman"/>
          <w:sz w:val="24"/>
          <w:szCs w:val="24"/>
        </w:rPr>
        <w:t xml:space="preserve">al assignment or sale thereof.  </w:t>
      </w:r>
      <w:r w:rsidRPr="00B34075">
        <w:rPr>
          <w:rFonts w:ascii="Times New Roman" w:eastAsia="Times New Roman" w:hAnsi="Times New Roman" w:cs="Times New Roman"/>
          <w:sz w:val="24"/>
          <w:szCs w:val="24"/>
        </w:rPr>
        <w:t>All questions concerning the methods by which the patent shall be commercially exploited shall be d</w:t>
      </w:r>
      <w:r w:rsidR="00B34075">
        <w:rPr>
          <w:rFonts w:ascii="Times New Roman" w:eastAsia="Times New Roman" w:hAnsi="Times New Roman" w:cs="Times New Roman"/>
          <w:sz w:val="24"/>
          <w:szCs w:val="24"/>
        </w:rPr>
        <w:t>ecided by the Patent Committee.</w:t>
      </w:r>
    </w:p>
    <w:p w14:paraId="00796E0C" w14:textId="29DB4F93" w:rsidR="00B4293E" w:rsidRPr="00B34075" w:rsidRDefault="00B4293E" w:rsidP="00B4293E">
      <w:pPr>
        <w:numPr>
          <w:ilvl w:val="0"/>
          <w:numId w:val="1"/>
        </w:numPr>
        <w:shd w:val="clear" w:color="auto" w:fill="FFFFFF"/>
        <w:spacing w:before="100" w:beforeAutospacing="1" w:after="240" w:line="240" w:lineRule="auto"/>
        <w:rPr>
          <w:rFonts w:ascii="Times New Roman" w:eastAsia="Times New Roman" w:hAnsi="Times New Roman" w:cs="Times New Roman"/>
          <w:sz w:val="24"/>
          <w:szCs w:val="24"/>
        </w:rPr>
      </w:pPr>
      <w:r w:rsidRPr="00B34075">
        <w:rPr>
          <w:rFonts w:ascii="Times New Roman" w:eastAsia="Times New Roman" w:hAnsi="Times New Roman" w:cs="Times New Roman"/>
          <w:sz w:val="24"/>
          <w:szCs w:val="24"/>
        </w:rPr>
        <w:t>This patent policy</w:t>
      </w:r>
      <w:r w:rsidR="00ED04BE">
        <w:rPr>
          <w:rFonts w:ascii="Times New Roman" w:eastAsia="Times New Roman" w:hAnsi="Times New Roman" w:cs="Times New Roman"/>
          <w:sz w:val="24"/>
          <w:szCs w:val="24"/>
        </w:rPr>
        <w:t>, Appendix G,</w:t>
      </w:r>
      <w:r w:rsidRPr="00B34075">
        <w:rPr>
          <w:rFonts w:ascii="Times New Roman" w:eastAsia="Times New Roman" w:hAnsi="Times New Roman" w:cs="Times New Roman"/>
          <w:sz w:val="24"/>
          <w:szCs w:val="24"/>
        </w:rPr>
        <w:t xml:space="preserve"> of the University, shall be deemed to be a condition of employment and contractual obligation, both while employed and thereafter, of every employee, including student employees, and a condition of enrollment and attendance and contra</w:t>
      </w:r>
      <w:r w:rsidR="00B34075">
        <w:rPr>
          <w:rFonts w:ascii="Times New Roman" w:eastAsia="Times New Roman" w:hAnsi="Times New Roman" w:cs="Times New Roman"/>
          <w:sz w:val="24"/>
          <w:szCs w:val="24"/>
        </w:rPr>
        <w:t xml:space="preserve">ctual obligation, both while in attendance </w:t>
      </w:r>
      <w:r w:rsidRPr="00B34075">
        <w:rPr>
          <w:rFonts w:ascii="Times New Roman" w:eastAsia="Times New Roman" w:hAnsi="Times New Roman" w:cs="Times New Roman"/>
          <w:sz w:val="24"/>
          <w:szCs w:val="24"/>
        </w:rPr>
        <w:t>and thereafter, by every student at each campus.</w:t>
      </w:r>
    </w:p>
    <w:p w14:paraId="4D7F7862" w14:textId="77777777" w:rsidR="00B4293E" w:rsidRPr="00B34075" w:rsidRDefault="00B4293E" w:rsidP="00B4293E">
      <w:pPr>
        <w:numPr>
          <w:ilvl w:val="0"/>
          <w:numId w:val="1"/>
        </w:numPr>
        <w:shd w:val="clear" w:color="auto" w:fill="FFFFFF"/>
        <w:spacing w:before="100" w:beforeAutospacing="1" w:after="240" w:line="240" w:lineRule="auto"/>
        <w:rPr>
          <w:rFonts w:ascii="Times New Roman" w:eastAsia="Times New Roman" w:hAnsi="Times New Roman" w:cs="Times New Roman"/>
          <w:sz w:val="24"/>
          <w:szCs w:val="24"/>
        </w:rPr>
      </w:pPr>
      <w:r w:rsidRPr="00B34075">
        <w:rPr>
          <w:rFonts w:ascii="Times New Roman" w:eastAsia="Times New Roman" w:hAnsi="Times New Roman" w:cs="Times New Roman"/>
          <w:sz w:val="24"/>
          <w:szCs w:val="24"/>
        </w:rPr>
        <w:t>Any invention or discovery (1) which is the result of research carried on by or under the direction of an employee of the University and/or having the costs thereof paid from funds provided by, under the control or administered by the University, or (2) which is made by an employee of the University and which relates to the employee's field of work, or (3) which has been developed in whole or in part by the utilization of resources or facilities belonging to the University, shall be t</w:t>
      </w:r>
      <w:r w:rsidR="00B34075">
        <w:rPr>
          <w:rFonts w:ascii="Times New Roman" w:eastAsia="Times New Roman" w:hAnsi="Times New Roman" w:cs="Times New Roman"/>
          <w:sz w:val="24"/>
          <w:szCs w:val="24"/>
        </w:rPr>
        <w:t xml:space="preserve">he property of the University.  </w:t>
      </w:r>
      <w:r w:rsidRPr="00B34075">
        <w:rPr>
          <w:rFonts w:ascii="Times New Roman" w:eastAsia="Times New Roman" w:hAnsi="Times New Roman" w:cs="Times New Roman"/>
          <w:sz w:val="24"/>
          <w:szCs w:val="24"/>
        </w:rPr>
        <w:t>The applicability of the above stated criteria to any invention or discovery will be determined at the sole discretion of the President of the University or his/her designee.</w:t>
      </w:r>
    </w:p>
    <w:p w14:paraId="2E3A2005" w14:textId="77777777" w:rsidR="00B4293E" w:rsidRPr="00B34075" w:rsidRDefault="00B4293E" w:rsidP="00B4293E">
      <w:pPr>
        <w:numPr>
          <w:ilvl w:val="0"/>
          <w:numId w:val="1"/>
        </w:numPr>
        <w:shd w:val="clear" w:color="auto" w:fill="FFFFFF"/>
        <w:spacing w:before="100" w:beforeAutospacing="1" w:after="240" w:line="240" w:lineRule="auto"/>
        <w:rPr>
          <w:rFonts w:ascii="Times New Roman" w:eastAsia="Times New Roman" w:hAnsi="Times New Roman" w:cs="Times New Roman"/>
          <w:sz w:val="24"/>
          <w:szCs w:val="24"/>
        </w:rPr>
      </w:pPr>
      <w:r w:rsidRPr="00B34075">
        <w:rPr>
          <w:rFonts w:ascii="Times New Roman" w:eastAsia="Times New Roman" w:hAnsi="Times New Roman" w:cs="Times New Roman"/>
          <w:sz w:val="24"/>
          <w:szCs w:val="24"/>
        </w:rPr>
        <w:t>As a condition of their employment or their continued employment by or enrollment at the University, each faculty member, employee and student agrees that he/she is contractually bound by this patent policy as implemented by the University and shall report to the officer or to any non-profit organization so designated by the President of the University to manage and commercialize such inventions and discoveries, any invention or discovery which such faculty member, employee or student has conceived, discovered, developed and/or reduced to practice by them or under their direction at any time following their initial appointment by, employment by, or e</w:t>
      </w:r>
      <w:r w:rsidR="00B34075">
        <w:rPr>
          <w:rFonts w:ascii="Times New Roman" w:eastAsia="Times New Roman" w:hAnsi="Times New Roman" w:cs="Times New Roman"/>
          <w:sz w:val="24"/>
          <w:szCs w:val="24"/>
        </w:rPr>
        <w:t xml:space="preserve">nrollment with the University.  </w:t>
      </w:r>
      <w:r w:rsidRPr="00B34075">
        <w:rPr>
          <w:rFonts w:ascii="Times New Roman" w:eastAsia="Times New Roman" w:hAnsi="Times New Roman" w:cs="Times New Roman"/>
          <w:sz w:val="24"/>
          <w:szCs w:val="24"/>
        </w:rPr>
        <w:t>All inventions and discoveries that meet the criteria of paragraph 4 above are hereby assigned to the University for the benefit of the University Faculty members, employees and students do not have the authority to assign rights in such inventions and</w:t>
      </w:r>
      <w:r w:rsidR="00B34075">
        <w:rPr>
          <w:rFonts w:ascii="Times New Roman" w:eastAsia="Times New Roman" w:hAnsi="Times New Roman" w:cs="Times New Roman"/>
          <w:sz w:val="24"/>
          <w:szCs w:val="24"/>
        </w:rPr>
        <w:t xml:space="preserve"> discoveries to third parties.  </w:t>
      </w:r>
      <w:r w:rsidRPr="00B34075">
        <w:rPr>
          <w:rFonts w:ascii="Times New Roman" w:eastAsia="Times New Roman" w:hAnsi="Times New Roman" w:cs="Times New Roman"/>
          <w:sz w:val="24"/>
          <w:szCs w:val="24"/>
        </w:rPr>
        <w:t>The President of the University is authorized to further assign any invention or discovery the University is deemed to own pursuant to this policy to a designated nonprofit organization established for the benefit of the University, which said assignment shall be condition on full compliance with this policy, regulations promulgated hereunder by the Board of Trustees or by the President of the University, and appropriate state and federal law.</w:t>
      </w:r>
    </w:p>
    <w:p w14:paraId="06EB2BA6" w14:textId="77777777" w:rsidR="00B4293E" w:rsidRPr="00B34075" w:rsidRDefault="00B4293E" w:rsidP="00B4293E">
      <w:pPr>
        <w:numPr>
          <w:ilvl w:val="0"/>
          <w:numId w:val="1"/>
        </w:numPr>
        <w:shd w:val="clear" w:color="auto" w:fill="FFFFFF"/>
        <w:spacing w:before="100" w:beforeAutospacing="1" w:after="240" w:line="240" w:lineRule="auto"/>
        <w:rPr>
          <w:rFonts w:ascii="Times New Roman" w:eastAsia="Times New Roman" w:hAnsi="Times New Roman" w:cs="Times New Roman"/>
          <w:sz w:val="24"/>
          <w:szCs w:val="24"/>
        </w:rPr>
      </w:pPr>
      <w:r w:rsidRPr="00B34075">
        <w:rPr>
          <w:rFonts w:ascii="Times New Roman" w:eastAsia="Times New Roman" w:hAnsi="Times New Roman" w:cs="Times New Roman"/>
          <w:sz w:val="24"/>
          <w:szCs w:val="24"/>
        </w:rPr>
        <w:t>The Patent Committee shall cause each invention or discovery to be investigated in order to determine the interest of the University and, if the Patent Committee determines that the University has an interest in the invention which it desires to pursue, it shall undertake to obt</w:t>
      </w:r>
      <w:r w:rsidR="00B34075">
        <w:rPr>
          <w:rFonts w:ascii="Times New Roman" w:eastAsia="Times New Roman" w:hAnsi="Times New Roman" w:cs="Times New Roman"/>
          <w:sz w:val="24"/>
          <w:szCs w:val="24"/>
        </w:rPr>
        <w:t xml:space="preserve">ain a patent on the invention.  </w:t>
      </w:r>
      <w:r w:rsidRPr="00B34075">
        <w:rPr>
          <w:rFonts w:ascii="Times New Roman" w:eastAsia="Times New Roman" w:hAnsi="Times New Roman" w:cs="Times New Roman"/>
          <w:sz w:val="24"/>
          <w:szCs w:val="24"/>
        </w:rPr>
        <w:t>In determining whether or not the University has an interest in the invention, the Committee shall consider the benefits that might accrue to both th</w:t>
      </w:r>
      <w:r w:rsidR="00B34075">
        <w:rPr>
          <w:rFonts w:ascii="Times New Roman" w:eastAsia="Times New Roman" w:hAnsi="Times New Roman" w:cs="Times New Roman"/>
          <w:sz w:val="24"/>
          <w:szCs w:val="24"/>
        </w:rPr>
        <w:t xml:space="preserve">e University and the inventor.  </w:t>
      </w:r>
      <w:r w:rsidRPr="00B34075">
        <w:rPr>
          <w:rFonts w:ascii="Times New Roman" w:eastAsia="Times New Roman" w:hAnsi="Times New Roman" w:cs="Times New Roman"/>
          <w:sz w:val="24"/>
          <w:szCs w:val="24"/>
        </w:rPr>
        <w:t>The Patent Administrator and the Patent Committee are responsible for prompt action for the purpose of protecting the property rights of t</w:t>
      </w:r>
      <w:r w:rsidR="00B34075">
        <w:rPr>
          <w:rFonts w:ascii="Times New Roman" w:eastAsia="Times New Roman" w:hAnsi="Times New Roman" w:cs="Times New Roman"/>
          <w:sz w:val="24"/>
          <w:szCs w:val="24"/>
        </w:rPr>
        <w:t xml:space="preserve">he inventor and the University. </w:t>
      </w:r>
    </w:p>
    <w:p w14:paraId="06F62BE4" w14:textId="77777777" w:rsidR="00B4293E" w:rsidRPr="00B34075" w:rsidRDefault="00B4293E" w:rsidP="00B4293E">
      <w:pPr>
        <w:numPr>
          <w:ilvl w:val="0"/>
          <w:numId w:val="1"/>
        </w:numPr>
        <w:shd w:val="clear" w:color="auto" w:fill="FFFFFF"/>
        <w:spacing w:before="100" w:beforeAutospacing="1" w:after="240" w:line="240" w:lineRule="auto"/>
        <w:rPr>
          <w:rFonts w:ascii="Times New Roman" w:eastAsia="Times New Roman" w:hAnsi="Times New Roman" w:cs="Times New Roman"/>
          <w:sz w:val="24"/>
          <w:szCs w:val="24"/>
        </w:rPr>
      </w:pPr>
      <w:r w:rsidRPr="00B34075">
        <w:rPr>
          <w:rFonts w:ascii="Times New Roman" w:eastAsia="Times New Roman" w:hAnsi="Times New Roman" w:cs="Times New Roman"/>
          <w:sz w:val="24"/>
          <w:szCs w:val="24"/>
        </w:rPr>
        <w:lastRenderedPageBreak/>
        <w:t>If it is determined that the invention or discovery is one which is owned by the University pursuant to this policy but is one in which the University has no interest in retaining ownership, the University (or the non-profit organization to which an invention may have been assigned in accordance with the terms of this policy) may, but is under no obligation to, release its ownership rights to the inventor(s) on terms and conditions determined by the President or his/her designee, subject to any third party rights.</w:t>
      </w:r>
    </w:p>
    <w:p w14:paraId="0C57DEF0" w14:textId="60203995" w:rsidR="00E07691" w:rsidRDefault="00B4293E" w:rsidP="00B4293E">
      <w:pPr>
        <w:numPr>
          <w:ilvl w:val="0"/>
          <w:numId w:val="1"/>
        </w:numPr>
        <w:shd w:val="clear" w:color="auto" w:fill="FFFFFF"/>
        <w:spacing w:before="100" w:beforeAutospacing="1" w:after="240" w:line="240" w:lineRule="auto"/>
        <w:rPr>
          <w:rFonts w:ascii="Times New Roman" w:eastAsia="Times New Roman" w:hAnsi="Times New Roman" w:cs="Times New Roman"/>
          <w:sz w:val="24"/>
          <w:szCs w:val="24"/>
        </w:rPr>
      </w:pPr>
      <w:r w:rsidRPr="00B34075">
        <w:rPr>
          <w:rFonts w:ascii="Times New Roman" w:eastAsia="Times New Roman" w:hAnsi="Times New Roman" w:cs="Times New Roman"/>
          <w:sz w:val="24"/>
          <w:szCs w:val="24"/>
        </w:rPr>
        <w:t>As further consideration for the assignment of rights set forth herein</w:t>
      </w:r>
      <w:r w:rsidR="00E07691">
        <w:rPr>
          <w:rFonts w:ascii="Times New Roman" w:eastAsia="Times New Roman" w:hAnsi="Times New Roman" w:cs="Times New Roman"/>
          <w:sz w:val="24"/>
          <w:szCs w:val="24"/>
        </w:rPr>
        <w:t xml:space="preserve"> and recognizing Board of Trustees rule 509</w:t>
      </w:r>
      <w:r w:rsidRPr="00B34075">
        <w:rPr>
          <w:rFonts w:ascii="Times New Roman" w:eastAsia="Times New Roman" w:hAnsi="Times New Roman" w:cs="Times New Roman"/>
          <w:sz w:val="24"/>
          <w:szCs w:val="24"/>
        </w:rPr>
        <w:t xml:space="preserve">, the University agrees to pay annually to the inventor, his heirs and assigns, </w:t>
      </w:r>
      <w:r w:rsidR="00E07691">
        <w:rPr>
          <w:rFonts w:ascii="Times New Roman" w:eastAsia="Times New Roman" w:hAnsi="Times New Roman" w:cs="Times New Roman"/>
          <w:sz w:val="24"/>
          <w:szCs w:val="24"/>
        </w:rPr>
        <w:t xml:space="preserve">according to the following distribution:  </w:t>
      </w:r>
    </w:p>
    <w:p w14:paraId="78F4D607" w14:textId="4CA20EEC" w:rsidR="000B0E69" w:rsidRPr="00E07691" w:rsidRDefault="000B0E69" w:rsidP="00763401">
      <w:pPr>
        <w:pStyle w:val="ListParagraph"/>
        <w:numPr>
          <w:ilvl w:val="0"/>
          <w:numId w:val="2"/>
        </w:numPr>
        <w:spacing w:after="0" w:line="240" w:lineRule="auto"/>
        <w:ind w:left="1980" w:right="720" w:hanging="540"/>
        <w:jc w:val="both"/>
        <w:rPr>
          <w:rFonts w:ascii="Times New Roman" w:hAnsi="Times New Roman" w:cs="Times New Roman"/>
          <w:sz w:val="24"/>
          <w:szCs w:val="24"/>
        </w:rPr>
      </w:pPr>
      <w:r w:rsidRPr="00E07691">
        <w:rPr>
          <w:rFonts w:ascii="Times New Roman" w:hAnsi="Times New Roman" w:cs="Times New Roman"/>
          <w:sz w:val="24"/>
          <w:szCs w:val="24"/>
        </w:rPr>
        <w:t>Gross Revenue, fees, and other financial returns received by the University from such inventions shall first be reduced by 15% for administrative costs plus additional expenses of patenting, protecting patent rights, and marketing the inv</w:t>
      </w:r>
      <w:r w:rsidR="00E07691" w:rsidRPr="00E07691">
        <w:rPr>
          <w:rFonts w:ascii="Times New Roman" w:hAnsi="Times New Roman" w:cs="Times New Roman"/>
          <w:sz w:val="24"/>
          <w:szCs w:val="24"/>
        </w:rPr>
        <w:t xml:space="preserve">entions. </w:t>
      </w:r>
      <w:r w:rsidRPr="00E07691">
        <w:rPr>
          <w:rFonts w:ascii="Times New Roman" w:hAnsi="Times New Roman" w:cs="Times New Roman"/>
          <w:sz w:val="24"/>
          <w:szCs w:val="24"/>
        </w:rPr>
        <w:t>(see 509.2.f.); and</w:t>
      </w:r>
    </w:p>
    <w:p w14:paraId="63C3CCC4" w14:textId="64331FC8" w:rsidR="000B0E69" w:rsidRPr="00E07691" w:rsidRDefault="000B0E69" w:rsidP="00763401">
      <w:pPr>
        <w:pStyle w:val="ListParagraph"/>
        <w:numPr>
          <w:ilvl w:val="0"/>
          <w:numId w:val="2"/>
        </w:numPr>
        <w:spacing w:after="0" w:line="240" w:lineRule="auto"/>
        <w:ind w:left="1980" w:right="720" w:hanging="540"/>
        <w:jc w:val="both"/>
        <w:rPr>
          <w:rFonts w:ascii="Times New Roman" w:hAnsi="Times New Roman" w:cs="Times New Roman"/>
          <w:sz w:val="24"/>
          <w:szCs w:val="24"/>
        </w:rPr>
      </w:pPr>
      <w:r w:rsidRPr="00E07691">
        <w:rPr>
          <w:rFonts w:ascii="Times New Roman" w:hAnsi="Times New Roman" w:cs="Times New Roman"/>
          <w:sz w:val="24"/>
          <w:szCs w:val="24"/>
        </w:rPr>
        <w:t>Net income remaining shall then ordinarily be divided in accordance with the percentages stated below. If special equities exist due to unusual circumstances, a variation of this allocation scheme may be utilized at UAH’s discretion.</w:t>
      </w:r>
      <w:r w:rsidRPr="00E07691">
        <w:rPr>
          <w:rFonts w:ascii="Times New Roman" w:hAnsi="Times New Roman" w:cs="Times New Roman"/>
          <w:sz w:val="24"/>
          <w:szCs w:val="24"/>
        </w:rPr>
        <w:tab/>
      </w:r>
    </w:p>
    <w:p w14:paraId="69936FB7" w14:textId="77777777" w:rsidR="000B0E69" w:rsidRPr="00E07691" w:rsidRDefault="000B0E69" w:rsidP="000B0E69">
      <w:pPr>
        <w:pStyle w:val="ListParagraph"/>
        <w:tabs>
          <w:tab w:val="left" w:pos="1800"/>
        </w:tabs>
        <w:ind w:left="2520" w:right="720"/>
        <w:rPr>
          <w:rFonts w:ascii="Times New Roman" w:hAnsi="Times New Roman" w:cs="Times New Roman"/>
          <w:sz w:val="24"/>
          <w:szCs w:val="24"/>
        </w:rPr>
      </w:pPr>
    </w:p>
    <w:tbl>
      <w:tblPr>
        <w:tblStyle w:val="TableGrid"/>
        <w:tblpPr w:leftFromText="180" w:rightFromText="180" w:vertAnchor="text" w:tblpX="1908" w:tblpY="1"/>
        <w:tblOverlap w:val="never"/>
        <w:tblW w:w="6860" w:type="dxa"/>
        <w:tblLayout w:type="fixed"/>
        <w:tblLook w:val="04A0" w:firstRow="1" w:lastRow="0" w:firstColumn="1" w:lastColumn="0" w:noHBand="0" w:noVBand="1"/>
      </w:tblPr>
      <w:tblGrid>
        <w:gridCol w:w="2155"/>
        <w:gridCol w:w="1535"/>
        <w:gridCol w:w="1730"/>
        <w:gridCol w:w="1440"/>
      </w:tblGrid>
      <w:tr w:rsidR="000B0E69" w:rsidRPr="00E07691" w14:paraId="2496C4AD" w14:textId="77777777" w:rsidTr="009A678D">
        <w:trPr>
          <w:trHeight w:val="548"/>
        </w:trPr>
        <w:tc>
          <w:tcPr>
            <w:tcW w:w="2155" w:type="dxa"/>
          </w:tcPr>
          <w:p w14:paraId="5831AAA0" w14:textId="77777777" w:rsidR="000B0E69" w:rsidRPr="00E07691" w:rsidRDefault="000B0E69" w:rsidP="009A678D">
            <w:pPr>
              <w:pStyle w:val="ListParagraph"/>
              <w:tabs>
                <w:tab w:val="left" w:pos="1800"/>
              </w:tabs>
              <w:ind w:left="0" w:right="20"/>
              <w:rPr>
                <w:b/>
                <w:sz w:val="24"/>
                <w:szCs w:val="24"/>
              </w:rPr>
            </w:pPr>
            <w:r w:rsidRPr="00E07691">
              <w:rPr>
                <w:b/>
                <w:sz w:val="24"/>
                <w:szCs w:val="24"/>
              </w:rPr>
              <w:t>Net Income Remaining</w:t>
            </w:r>
          </w:p>
        </w:tc>
        <w:tc>
          <w:tcPr>
            <w:tcW w:w="1535" w:type="dxa"/>
          </w:tcPr>
          <w:p w14:paraId="046BB297" w14:textId="77777777" w:rsidR="000B0E69" w:rsidRPr="00E07691" w:rsidRDefault="000B0E69" w:rsidP="009A678D">
            <w:pPr>
              <w:pStyle w:val="ListParagraph"/>
              <w:tabs>
                <w:tab w:val="left" w:pos="1294"/>
              </w:tabs>
              <w:ind w:left="0" w:right="412"/>
              <w:rPr>
                <w:b/>
                <w:sz w:val="24"/>
                <w:szCs w:val="24"/>
              </w:rPr>
            </w:pPr>
            <w:r w:rsidRPr="00E07691">
              <w:rPr>
                <w:b/>
                <w:sz w:val="24"/>
                <w:szCs w:val="24"/>
              </w:rPr>
              <w:t>UAH</w:t>
            </w:r>
          </w:p>
          <w:p w14:paraId="32AF0500" w14:textId="77777777" w:rsidR="000B0E69" w:rsidRPr="00E07691" w:rsidRDefault="000B0E69" w:rsidP="009A678D">
            <w:pPr>
              <w:pStyle w:val="ListParagraph"/>
              <w:tabs>
                <w:tab w:val="left" w:pos="1294"/>
              </w:tabs>
              <w:ind w:left="0" w:right="412"/>
              <w:rPr>
                <w:b/>
                <w:sz w:val="24"/>
                <w:szCs w:val="24"/>
              </w:rPr>
            </w:pPr>
            <w:r w:rsidRPr="00E07691">
              <w:rPr>
                <w:b/>
                <w:sz w:val="24"/>
                <w:szCs w:val="24"/>
              </w:rPr>
              <w:t>Employee</w:t>
            </w:r>
          </w:p>
        </w:tc>
        <w:tc>
          <w:tcPr>
            <w:tcW w:w="1730" w:type="dxa"/>
          </w:tcPr>
          <w:p w14:paraId="7F5FA90A" w14:textId="77777777" w:rsidR="000B0E69" w:rsidRPr="00E07691" w:rsidRDefault="000B0E69" w:rsidP="009A678D">
            <w:pPr>
              <w:pStyle w:val="ListParagraph"/>
              <w:tabs>
                <w:tab w:val="left" w:pos="1800"/>
              </w:tabs>
              <w:ind w:left="0"/>
              <w:rPr>
                <w:b/>
                <w:sz w:val="24"/>
                <w:szCs w:val="24"/>
              </w:rPr>
            </w:pPr>
            <w:r w:rsidRPr="00E07691">
              <w:rPr>
                <w:b/>
                <w:sz w:val="24"/>
                <w:szCs w:val="24"/>
              </w:rPr>
              <w:t>Employee’s</w:t>
            </w:r>
          </w:p>
          <w:p w14:paraId="13E4CEE2" w14:textId="77777777" w:rsidR="000B0E69" w:rsidRPr="00E07691" w:rsidRDefault="000B0E69" w:rsidP="009A678D">
            <w:pPr>
              <w:pStyle w:val="ListParagraph"/>
              <w:tabs>
                <w:tab w:val="left" w:pos="1800"/>
              </w:tabs>
              <w:ind w:left="0" w:right="-18"/>
              <w:rPr>
                <w:b/>
                <w:sz w:val="24"/>
                <w:szCs w:val="24"/>
              </w:rPr>
            </w:pPr>
            <w:r w:rsidRPr="00E07691">
              <w:rPr>
                <w:b/>
                <w:sz w:val="24"/>
                <w:szCs w:val="24"/>
              </w:rPr>
              <w:t>Unit</w:t>
            </w:r>
          </w:p>
        </w:tc>
        <w:tc>
          <w:tcPr>
            <w:tcW w:w="1440" w:type="dxa"/>
          </w:tcPr>
          <w:p w14:paraId="4BE17D75" w14:textId="77777777" w:rsidR="000B0E69" w:rsidRPr="00E07691" w:rsidRDefault="000B0E69" w:rsidP="009A678D">
            <w:pPr>
              <w:pStyle w:val="ListParagraph"/>
              <w:tabs>
                <w:tab w:val="left" w:pos="1242"/>
                <w:tab w:val="left" w:pos="1272"/>
              </w:tabs>
              <w:ind w:left="0"/>
              <w:rPr>
                <w:b/>
                <w:sz w:val="24"/>
                <w:szCs w:val="24"/>
              </w:rPr>
            </w:pPr>
            <w:r w:rsidRPr="00E07691">
              <w:rPr>
                <w:b/>
                <w:sz w:val="24"/>
                <w:szCs w:val="24"/>
              </w:rPr>
              <w:t>Technology Transfer  Fund</w:t>
            </w:r>
          </w:p>
        </w:tc>
      </w:tr>
      <w:tr w:rsidR="000B0E69" w:rsidRPr="00E07691" w14:paraId="2C8EDFDB" w14:textId="77777777" w:rsidTr="009A678D">
        <w:trPr>
          <w:trHeight w:val="362"/>
        </w:trPr>
        <w:tc>
          <w:tcPr>
            <w:tcW w:w="2155" w:type="dxa"/>
          </w:tcPr>
          <w:p w14:paraId="4703EC27" w14:textId="77777777" w:rsidR="000B0E69" w:rsidRPr="00E07691" w:rsidRDefault="000B0E69" w:rsidP="009A678D">
            <w:pPr>
              <w:pStyle w:val="ListParagraph"/>
              <w:tabs>
                <w:tab w:val="left" w:pos="1800"/>
              </w:tabs>
              <w:ind w:left="0" w:right="720"/>
              <w:rPr>
                <w:sz w:val="24"/>
                <w:szCs w:val="24"/>
              </w:rPr>
            </w:pPr>
            <w:r w:rsidRPr="00E07691">
              <w:rPr>
                <w:sz w:val="24"/>
                <w:szCs w:val="24"/>
              </w:rPr>
              <w:t xml:space="preserve">Above $0 </w:t>
            </w:r>
          </w:p>
          <w:p w14:paraId="7C875CB2" w14:textId="77777777" w:rsidR="000B0E69" w:rsidRPr="00E07691" w:rsidRDefault="000B0E69" w:rsidP="009A678D">
            <w:pPr>
              <w:pStyle w:val="ListParagraph"/>
              <w:tabs>
                <w:tab w:val="left" w:pos="1800"/>
              </w:tabs>
              <w:ind w:left="0" w:right="720"/>
              <w:rPr>
                <w:sz w:val="24"/>
                <w:szCs w:val="24"/>
              </w:rPr>
            </w:pPr>
            <w:r w:rsidRPr="00E07691">
              <w:rPr>
                <w:sz w:val="24"/>
                <w:szCs w:val="24"/>
              </w:rPr>
              <w:t>- to $5,000</w:t>
            </w:r>
          </w:p>
        </w:tc>
        <w:tc>
          <w:tcPr>
            <w:tcW w:w="1535" w:type="dxa"/>
          </w:tcPr>
          <w:p w14:paraId="6FFC1245" w14:textId="77777777" w:rsidR="000B0E69" w:rsidRPr="00E07691" w:rsidRDefault="000B0E69" w:rsidP="009A678D">
            <w:pPr>
              <w:tabs>
                <w:tab w:val="left" w:pos="1800"/>
              </w:tabs>
              <w:ind w:right="52"/>
              <w:rPr>
                <w:rFonts w:eastAsiaTheme="minorEastAsia"/>
                <w:sz w:val="24"/>
                <w:szCs w:val="24"/>
              </w:rPr>
            </w:pPr>
            <w:r w:rsidRPr="00E07691">
              <w:rPr>
                <w:sz w:val="24"/>
                <w:szCs w:val="24"/>
              </w:rPr>
              <w:t>100%</w:t>
            </w:r>
          </w:p>
        </w:tc>
        <w:tc>
          <w:tcPr>
            <w:tcW w:w="1730" w:type="dxa"/>
          </w:tcPr>
          <w:p w14:paraId="3455D9C7" w14:textId="77777777" w:rsidR="000B0E69" w:rsidRPr="00E07691" w:rsidRDefault="000B0E69" w:rsidP="009A678D">
            <w:pPr>
              <w:pStyle w:val="ListParagraph"/>
              <w:tabs>
                <w:tab w:val="left" w:pos="1800"/>
              </w:tabs>
              <w:ind w:left="0" w:right="720"/>
              <w:jc w:val="center"/>
              <w:rPr>
                <w:sz w:val="24"/>
                <w:szCs w:val="24"/>
              </w:rPr>
            </w:pPr>
            <w:r w:rsidRPr="00E07691">
              <w:rPr>
                <w:sz w:val="24"/>
                <w:szCs w:val="24"/>
              </w:rPr>
              <w:t>0%</w:t>
            </w:r>
          </w:p>
        </w:tc>
        <w:tc>
          <w:tcPr>
            <w:tcW w:w="1440" w:type="dxa"/>
          </w:tcPr>
          <w:p w14:paraId="5C9072BF" w14:textId="77777777" w:rsidR="000B0E69" w:rsidRPr="00E07691" w:rsidRDefault="000B0E69" w:rsidP="009A678D">
            <w:pPr>
              <w:pStyle w:val="ListParagraph"/>
              <w:tabs>
                <w:tab w:val="left" w:pos="1800"/>
              </w:tabs>
              <w:ind w:left="0" w:right="720"/>
              <w:jc w:val="center"/>
              <w:rPr>
                <w:sz w:val="24"/>
                <w:szCs w:val="24"/>
              </w:rPr>
            </w:pPr>
            <w:r w:rsidRPr="00E07691">
              <w:rPr>
                <w:sz w:val="24"/>
                <w:szCs w:val="24"/>
              </w:rPr>
              <w:t>0%</w:t>
            </w:r>
          </w:p>
        </w:tc>
      </w:tr>
      <w:tr w:rsidR="000B0E69" w:rsidRPr="00E07691" w14:paraId="001C5623" w14:textId="77777777" w:rsidTr="009A678D">
        <w:trPr>
          <w:trHeight w:val="362"/>
        </w:trPr>
        <w:tc>
          <w:tcPr>
            <w:tcW w:w="2155" w:type="dxa"/>
          </w:tcPr>
          <w:p w14:paraId="002E9F91" w14:textId="77777777" w:rsidR="000B0E69" w:rsidRPr="00E07691" w:rsidRDefault="000B0E69" w:rsidP="009A678D">
            <w:pPr>
              <w:pStyle w:val="ListParagraph"/>
              <w:tabs>
                <w:tab w:val="left" w:pos="1800"/>
              </w:tabs>
              <w:ind w:left="0" w:right="720"/>
              <w:rPr>
                <w:sz w:val="24"/>
                <w:szCs w:val="24"/>
              </w:rPr>
            </w:pPr>
            <w:r w:rsidRPr="00E07691">
              <w:rPr>
                <w:sz w:val="24"/>
                <w:szCs w:val="24"/>
              </w:rPr>
              <w:t>Above $5,000 – to $50,000</w:t>
            </w:r>
          </w:p>
        </w:tc>
        <w:tc>
          <w:tcPr>
            <w:tcW w:w="1535" w:type="dxa"/>
          </w:tcPr>
          <w:p w14:paraId="17AC2A56" w14:textId="77777777" w:rsidR="000B0E69" w:rsidRPr="00E07691" w:rsidRDefault="000B0E69" w:rsidP="009A678D">
            <w:pPr>
              <w:tabs>
                <w:tab w:val="left" w:pos="1800"/>
              </w:tabs>
              <w:ind w:right="52"/>
              <w:rPr>
                <w:rFonts w:eastAsiaTheme="minorEastAsia"/>
                <w:sz w:val="24"/>
                <w:szCs w:val="24"/>
              </w:rPr>
            </w:pPr>
            <w:r w:rsidRPr="00E07691">
              <w:rPr>
                <w:sz w:val="24"/>
                <w:szCs w:val="24"/>
              </w:rPr>
              <w:t xml:space="preserve">  60%</w:t>
            </w:r>
          </w:p>
        </w:tc>
        <w:tc>
          <w:tcPr>
            <w:tcW w:w="1730" w:type="dxa"/>
          </w:tcPr>
          <w:p w14:paraId="42E0E29C" w14:textId="77777777" w:rsidR="000B0E69" w:rsidRPr="00E07691" w:rsidRDefault="000B0E69" w:rsidP="009A678D">
            <w:pPr>
              <w:pStyle w:val="ListParagraph"/>
              <w:tabs>
                <w:tab w:val="left" w:pos="1800"/>
              </w:tabs>
              <w:ind w:left="0" w:right="720"/>
              <w:jc w:val="center"/>
              <w:rPr>
                <w:sz w:val="24"/>
                <w:szCs w:val="24"/>
              </w:rPr>
            </w:pPr>
            <w:r w:rsidRPr="00E07691">
              <w:rPr>
                <w:sz w:val="24"/>
                <w:szCs w:val="24"/>
              </w:rPr>
              <w:t>20%</w:t>
            </w:r>
          </w:p>
        </w:tc>
        <w:tc>
          <w:tcPr>
            <w:tcW w:w="1440" w:type="dxa"/>
          </w:tcPr>
          <w:p w14:paraId="486259D0" w14:textId="77777777" w:rsidR="000B0E69" w:rsidRPr="00E07691" w:rsidRDefault="000B0E69" w:rsidP="009A678D">
            <w:pPr>
              <w:pStyle w:val="ListParagraph"/>
              <w:tabs>
                <w:tab w:val="left" w:pos="1800"/>
              </w:tabs>
              <w:ind w:left="0" w:right="720"/>
              <w:jc w:val="center"/>
              <w:rPr>
                <w:sz w:val="24"/>
                <w:szCs w:val="24"/>
              </w:rPr>
            </w:pPr>
            <w:r w:rsidRPr="00E07691">
              <w:rPr>
                <w:sz w:val="24"/>
                <w:szCs w:val="24"/>
              </w:rPr>
              <w:t>20%</w:t>
            </w:r>
          </w:p>
        </w:tc>
      </w:tr>
      <w:tr w:rsidR="000B0E69" w:rsidRPr="00E07691" w14:paraId="790BCFB2" w14:textId="77777777" w:rsidTr="009A678D">
        <w:trPr>
          <w:trHeight w:val="409"/>
        </w:trPr>
        <w:tc>
          <w:tcPr>
            <w:tcW w:w="2155" w:type="dxa"/>
          </w:tcPr>
          <w:p w14:paraId="5A211A76" w14:textId="69C99CFD" w:rsidR="000B0E69" w:rsidRPr="00E07691" w:rsidRDefault="00ED04BE" w:rsidP="00ED04BE">
            <w:pPr>
              <w:pStyle w:val="ListParagraph"/>
              <w:tabs>
                <w:tab w:val="left" w:pos="1800"/>
              </w:tabs>
              <w:ind w:left="0" w:right="720"/>
              <w:rPr>
                <w:sz w:val="24"/>
                <w:szCs w:val="24"/>
              </w:rPr>
            </w:pPr>
            <w:r>
              <w:rPr>
                <w:sz w:val="24"/>
                <w:szCs w:val="24"/>
              </w:rPr>
              <w:t>Above $50,00</w:t>
            </w:r>
            <w:r w:rsidR="004B51BD">
              <w:rPr>
                <w:sz w:val="24"/>
                <w:szCs w:val="24"/>
              </w:rPr>
              <w:t>0</w:t>
            </w:r>
          </w:p>
        </w:tc>
        <w:tc>
          <w:tcPr>
            <w:tcW w:w="1535" w:type="dxa"/>
          </w:tcPr>
          <w:p w14:paraId="4300FEFB" w14:textId="77777777" w:rsidR="000B0E69" w:rsidRPr="00E07691" w:rsidRDefault="000B0E69" w:rsidP="009A678D">
            <w:pPr>
              <w:pStyle w:val="ListParagraph"/>
              <w:tabs>
                <w:tab w:val="left" w:pos="1800"/>
              </w:tabs>
              <w:ind w:left="0" w:right="720"/>
              <w:jc w:val="center"/>
              <w:rPr>
                <w:sz w:val="24"/>
                <w:szCs w:val="24"/>
              </w:rPr>
            </w:pPr>
            <w:r w:rsidRPr="00E07691">
              <w:rPr>
                <w:sz w:val="24"/>
                <w:szCs w:val="24"/>
              </w:rPr>
              <w:t>50%</w:t>
            </w:r>
          </w:p>
        </w:tc>
        <w:tc>
          <w:tcPr>
            <w:tcW w:w="1730" w:type="dxa"/>
          </w:tcPr>
          <w:p w14:paraId="1842AA71" w14:textId="77777777" w:rsidR="000B0E69" w:rsidRPr="00E07691" w:rsidRDefault="000B0E69" w:rsidP="009A678D">
            <w:pPr>
              <w:pStyle w:val="ListParagraph"/>
              <w:tabs>
                <w:tab w:val="left" w:pos="1800"/>
              </w:tabs>
              <w:ind w:left="0" w:right="720"/>
              <w:jc w:val="center"/>
              <w:rPr>
                <w:sz w:val="24"/>
                <w:szCs w:val="24"/>
              </w:rPr>
            </w:pPr>
            <w:r w:rsidRPr="00E07691">
              <w:rPr>
                <w:sz w:val="24"/>
                <w:szCs w:val="24"/>
              </w:rPr>
              <w:t>30%</w:t>
            </w:r>
          </w:p>
        </w:tc>
        <w:tc>
          <w:tcPr>
            <w:tcW w:w="1440" w:type="dxa"/>
          </w:tcPr>
          <w:p w14:paraId="509180EC" w14:textId="77777777" w:rsidR="000B0E69" w:rsidRPr="00E07691" w:rsidRDefault="000B0E69" w:rsidP="009A678D">
            <w:pPr>
              <w:pStyle w:val="ListParagraph"/>
              <w:tabs>
                <w:tab w:val="left" w:pos="1800"/>
              </w:tabs>
              <w:ind w:left="0" w:right="720"/>
              <w:jc w:val="center"/>
              <w:rPr>
                <w:sz w:val="24"/>
                <w:szCs w:val="24"/>
              </w:rPr>
            </w:pPr>
            <w:r w:rsidRPr="00E07691">
              <w:rPr>
                <w:sz w:val="24"/>
                <w:szCs w:val="24"/>
              </w:rPr>
              <w:t>20%</w:t>
            </w:r>
          </w:p>
        </w:tc>
      </w:tr>
    </w:tbl>
    <w:p w14:paraId="552BEA6E" w14:textId="77777777" w:rsidR="000B0E69" w:rsidRPr="00E07691" w:rsidRDefault="000B0E69" w:rsidP="000B0E69">
      <w:pPr>
        <w:tabs>
          <w:tab w:val="left" w:pos="1800"/>
        </w:tabs>
        <w:ind w:right="450"/>
        <w:rPr>
          <w:rFonts w:ascii="Times New Roman" w:hAnsi="Times New Roman" w:cs="Times New Roman"/>
          <w:sz w:val="24"/>
          <w:szCs w:val="24"/>
        </w:rPr>
      </w:pPr>
      <w:r w:rsidRPr="00E07691">
        <w:rPr>
          <w:rFonts w:ascii="Times New Roman" w:hAnsi="Times New Roman" w:cs="Times New Roman"/>
          <w:sz w:val="24"/>
          <w:szCs w:val="24"/>
        </w:rPr>
        <w:br w:type="textWrapping" w:clear="all"/>
      </w:r>
      <w:r w:rsidRPr="00E07691">
        <w:rPr>
          <w:rFonts w:ascii="Times New Roman" w:hAnsi="Times New Roman" w:cs="Times New Roman"/>
          <w:sz w:val="24"/>
          <w:szCs w:val="24"/>
        </w:rPr>
        <w:tab/>
      </w:r>
      <w:r w:rsidRPr="00E07691">
        <w:rPr>
          <w:rFonts w:ascii="Times New Roman" w:hAnsi="Times New Roman" w:cs="Times New Roman"/>
          <w:sz w:val="24"/>
          <w:szCs w:val="24"/>
        </w:rPr>
        <w:tab/>
      </w:r>
      <w:r w:rsidRPr="00E07691">
        <w:rPr>
          <w:rFonts w:ascii="Times New Roman" w:hAnsi="Times New Roman" w:cs="Times New Roman"/>
          <w:sz w:val="24"/>
          <w:szCs w:val="24"/>
        </w:rPr>
        <w:tab/>
      </w:r>
    </w:p>
    <w:p w14:paraId="10CD6717" w14:textId="77777777" w:rsidR="000B0E69" w:rsidRPr="00E07691" w:rsidRDefault="000B0E69" w:rsidP="00763401">
      <w:pPr>
        <w:tabs>
          <w:tab w:val="left" w:pos="1800"/>
        </w:tabs>
        <w:ind w:left="2160" w:right="450" w:hanging="2520"/>
        <w:rPr>
          <w:rFonts w:ascii="Times New Roman" w:hAnsi="Times New Roman" w:cs="Times New Roman"/>
          <w:sz w:val="24"/>
          <w:szCs w:val="24"/>
        </w:rPr>
      </w:pPr>
      <w:r w:rsidRPr="00E07691">
        <w:rPr>
          <w:rFonts w:ascii="Times New Roman" w:hAnsi="Times New Roman" w:cs="Times New Roman"/>
          <w:sz w:val="24"/>
          <w:szCs w:val="24"/>
        </w:rPr>
        <w:tab/>
      </w:r>
      <w:r w:rsidRPr="00E07691">
        <w:rPr>
          <w:rFonts w:ascii="Times New Roman" w:hAnsi="Times New Roman" w:cs="Times New Roman"/>
          <w:sz w:val="24"/>
          <w:szCs w:val="24"/>
        </w:rPr>
        <w:tab/>
      </w:r>
      <w:r w:rsidRPr="00E07691">
        <w:rPr>
          <w:rFonts w:ascii="Times New Roman" w:hAnsi="Times New Roman" w:cs="Times New Roman"/>
          <w:b/>
          <w:sz w:val="24"/>
          <w:szCs w:val="24"/>
        </w:rPr>
        <w:t>Example:</w:t>
      </w:r>
      <w:r w:rsidRPr="00E07691">
        <w:rPr>
          <w:rFonts w:ascii="Times New Roman" w:hAnsi="Times New Roman" w:cs="Times New Roman"/>
          <w:sz w:val="24"/>
          <w:szCs w:val="24"/>
        </w:rPr>
        <w:t xml:space="preserve">  If the Net income remaining to be distributed to the UAH Employee(s) is $60,000, the UAH Employee(s) share will be as follows:</w:t>
      </w:r>
    </w:p>
    <w:p w14:paraId="32F88AC3" w14:textId="77777777" w:rsidR="000B0E69" w:rsidRPr="00E07691" w:rsidRDefault="000B0E69" w:rsidP="00763401">
      <w:pPr>
        <w:tabs>
          <w:tab w:val="left" w:pos="1800"/>
        </w:tabs>
        <w:ind w:left="2160" w:right="450" w:hanging="2520"/>
        <w:rPr>
          <w:rFonts w:ascii="Times New Roman" w:hAnsi="Times New Roman" w:cs="Times New Roman"/>
          <w:sz w:val="24"/>
          <w:szCs w:val="24"/>
        </w:rPr>
      </w:pPr>
      <w:r w:rsidRPr="00E07691">
        <w:rPr>
          <w:rFonts w:ascii="Times New Roman" w:hAnsi="Times New Roman" w:cs="Times New Roman"/>
          <w:sz w:val="24"/>
          <w:szCs w:val="24"/>
        </w:rPr>
        <w:tab/>
      </w:r>
      <w:r w:rsidRPr="00E07691">
        <w:rPr>
          <w:rFonts w:ascii="Times New Roman" w:hAnsi="Times New Roman" w:cs="Times New Roman"/>
          <w:sz w:val="24"/>
          <w:szCs w:val="24"/>
        </w:rPr>
        <w:tab/>
        <w:t>100% of the first $5,000</w:t>
      </w:r>
      <w:r w:rsidRPr="00E07691">
        <w:rPr>
          <w:rFonts w:ascii="Times New Roman" w:hAnsi="Times New Roman" w:cs="Times New Roman"/>
          <w:sz w:val="24"/>
          <w:szCs w:val="24"/>
        </w:rPr>
        <w:tab/>
      </w:r>
      <w:r w:rsidRPr="00E07691">
        <w:rPr>
          <w:rFonts w:ascii="Times New Roman" w:hAnsi="Times New Roman" w:cs="Times New Roman"/>
          <w:sz w:val="24"/>
          <w:szCs w:val="24"/>
        </w:rPr>
        <w:tab/>
      </w:r>
      <w:r w:rsidRPr="00E07691">
        <w:rPr>
          <w:rFonts w:ascii="Times New Roman" w:hAnsi="Times New Roman" w:cs="Times New Roman"/>
          <w:sz w:val="24"/>
          <w:szCs w:val="24"/>
        </w:rPr>
        <w:tab/>
      </w:r>
      <w:r w:rsidRPr="00E07691">
        <w:rPr>
          <w:rFonts w:ascii="Times New Roman" w:hAnsi="Times New Roman" w:cs="Times New Roman"/>
          <w:sz w:val="24"/>
          <w:szCs w:val="24"/>
        </w:rPr>
        <w:tab/>
        <w:t>= $5,000</w:t>
      </w:r>
    </w:p>
    <w:p w14:paraId="03F03788" w14:textId="77777777" w:rsidR="000B0E69" w:rsidRPr="00E07691" w:rsidRDefault="000B0E69" w:rsidP="00763401">
      <w:pPr>
        <w:tabs>
          <w:tab w:val="left" w:pos="1800"/>
        </w:tabs>
        <w:ind w:left="2160" w:right="450" w:hanging="2520"/>
        <w:rPr>
          <w:rFonts w:ascii="Times New Roman" w:hAnsi="Times New Roman" w:cs="Times New Roman"/>
          <w:sz w:val="24"/>
          <w:szCs w:val="24"/>
        </w:rPr>
      </w:pPr>
      <w:r w:rsidRPr="00E07691">
        <w:rPr>
          <w:rFonts w:ascii="Times New Roman" w:hAnsi="Times New Roman" w:cs="Times New Roman"/>
          <w:sz w:val="24"/>
          <w:szCs w:val="24"/>
        </w:rPr>
        <w:tab/>
      </w:r>
      <w:r w:rsidRPr="00E07691">
        <w:rPr>
          <w:rFonts w:ascii="Times New Roman" w:hAnsi="Times New Roman" w:cs="Times New Roman"/>
          <w:sz w:val="24"/>
          <w:szCs w:val="24"/>
        </w:rPr>
        <w:tab/>
        <w:t>60% of the amounts between $5,000 to $50,000</w:t>
      </w:r>
      <w:r w:rsidRPr="00E07691">
        <w:rPr>
          <w:rFonts w:ascii="Times New Roman" w:hAnsi="Times New Roman" w:cs="Times New Roman"/>
          <w:sz w:val="24"/>
          <w:szCs w:val="24"/>
        </w:rPr>
        <w:tab/>
        <w:t>= $27,000</w:t>
      </w:r>
    </w:p>
    <w:p w14:paraId="318F03F8" w14:textId="77777777" w:rsidR="000B0E69" w:rsidRPr="00E07691" w:rsidRDefault="000B0E69" w:rsidP="00763401">
      <w:pPr>
        <w:tabs>
          <w:tab w:val="left" w:pos="1800"/>
        </w:tabs>
        <w:ind w:left="2160" w:right="450" w:hanging="2520"/>
        <w:rPr>
          <w:rFonts w:ascii="Times New Roman" w:hAnsi="Times New Roman" w:cs="Times New Roman"/>
          <w:sz w:val="24"/>
          <w:szCs w:val="24"/>
          <w:u w:val="single"/>
        </w:rPr>
      </w:pPr>
      <w:r w:rsidRPr="00E07691">
        <w:rPr>
          <w:rFonts w:ascii="Times New Roman" w:hAnsi="Times New Roman" w:cs="Times New Roman"/>
          <w:sz w:val="24"/>
          <w:szCs w:val="24"/>
        </w:rPr>
        <w:tab/>
      </w:r>
      <w:r w:rsidRPr="00E07691">
        <w:rPr>
          <w:rFonts w:ascii="Times New Roman" w:hAnsi="Times New Roman" w:cs="Times New Roman"/>
          <w:sz w:val="24"/>
          <w:szCs w:val="24"/>
        </w:rPr>
        <w:tab/>
        <w:t>50% of the amount over $50,000</w:t>
      </w:r>
      <w:r w:rsidRPr="00E07691">
        <w:rPr>
          <w:rFonts w:ascii="Times New Roman" w:hAnsi="Times New Roman" w:cs="Times New Roman"/>
          <w:sz w:val="24"/>
          <w:szCs w:val="24"/>
        </w:rPr>
        <w:tab/>
      </w:r>
      <w:r w:rsidRPr="00E07691">
        <w:rPr>
          <w:rFonts w:ascii="Times New Roman" w:hAnsi="Times New Roman" w:cs="Times New Roman"/>
          <w:sz w:val="24"/>
          <w:szCs w:val="24"/>
        </w:rPr>
        <w:tab/>
      </w:r>
      <w:r w:rsidRPr="00E07691">
        <w:rPr>
          <w:rFonts w:ascii="Times New Roman" w:hAnsi="Times New Roman" w:cs="Times New Roman"/>
          <w:sz w:val="24"/>
          <w:szCs w:val="24"/>
        </w:rPr>
        <w:tab/>
      </w:r>
      <w:r w:rsidRPr="00E07691">
        <w:rPr>
          <w:rFonts w:ascii="Times New Roman" w:hAnsi="Times New Roman" w:cs="Times New Roman"/>
          <w:sz w:val="24"/>
          <w:szCs w:val="24"/>
          <w:u w:val="single"/>
        </w:rPr>
        <w:t>= $5,000</w:t>
      </w:r>
    </w:p>
    <w:p w14:paraId="56981756" w14:textId="5C7EF210" w:rsidR="000B0E69" w:rsidRPr="00E07691" w:rsidRDefault="000B0E69" w:rsidP="00763401">
      <w:pPr>
        <w:tabs>
          <w:tab w:val="left" w:pos="1800"/>
        </w:tabs>
        <w:ind w:left="2160" w:right="450" w:hanging="2520"/>
        <w:rPr>
          <w:rFonts w:ascii="Times New Roman" w:hAnsi="Times New Roman" w:cs="Times New Roman"/>
          <w:sz w:val="24"/>
          <w:szCs w:val="24"/>
        </w:rPr>
      </w:pPr>
      <w:r w:rsidRPr="00E07691">
        <w:rPr>
          <w:rFonts w:ascii="Times New Roman" w:hAnsi="Times New Roman" w:cs="Times New Roman"/>
          <w:sz w:val="24"/>
          <w:szCs w:val="24"/>
        </w:rPr>
        <w:tab/>
      </w:r>
      <w:r w:rsidRPr="00E07691">
        <w:rPr>
          <w:rFonts w:ascii="Times New Roman" w:hAnsi="Times New Roman" w:cs="Times New Roman"/>
          <w:sz w:val="24"/>
          <w:szCs w:val="24"/>
        </w:rPr>
        <w:tab/>
        <w:t>Total received by UAH Employee(s)</w:t>
      </w:r>
      <w:r w:rsidRPr="00E07691">
        <w:rPr>
          <w:rFonts w:ascii="Times New Roman" w:hAnsi="Times New Roman" w:cs="Times New Roman"/>
          <w:sz w:val="24"/>
          <w:szCs w:val="24"/>
        </w:rPr>
        <w:tab/>
      </w:r>
      <w:r w:rsidRPr="00E07691">
        <w:rPr>
          <w:rFonts w:ascii="Times New Roman" w:hAnsi="Times New Roman" w:cs="Times New Roman"/>
          <w:sz w:val="24"/>
          <w:szCs w:val="24"/>
        </w:rPr>
        <w:tab/>
      </w:r>
      <w:r w:rsidRPr="00E07691">
        <w:rPr>
          <w:rFonts w:ascii="Times New Roman" w:hAnsi="Times New Roman" w:cs="Times New Roman"/>
          <w:sz w:val="24"/>
          <w:szCs w:val="24"/>
        </w:rPr>
        <w:tab/>
        <w:t>= $37,000</w:t>
      </w:r>
    </w:p>
    <w:p w14:paraId="23C41AB5" w14:textId="47DD3C40" w:rsidR="000B0E69" w:rsidRPr="00E07691" w:rsidRDefault="000B0E69" w:rsidP="00763401">
      <w:pPr>
        <w:spacing w:after="0" w:line="240" w:lineRule="auto"/>
        <w:ind w:left="2160" w:right="720"/>
        <w:jc w:val="both"/>
        <w:rPr>
          <w:rFonts w:ascii="Times New Roman" w:hAnsi="Times New Roman" w:cs="Times New Roman"/>
          <w:sz w:val="24"/>
          <w:szCs w:val="24"/>
        </w:rPr>
      </w:pPr>
      <w:r w:rsidRPr="00E07691">
        <w:rPr>
          <w:rFonts w:ascii="Times New Roman" w:hAnsi="Times New Roman" w:cs="Times New Roman"/>
          <w:sz w:val="24"/>
          <w:szCs w:val="24"/>
        </w:rPr>
        <w:lastRenderedPageBreak/>
        <w:t xml:space="preserve">The Employee's Unit shall be the primary organization (i.e., college, center, or administrative unit) to which he or she is assigned and/or a student at the time the invention was made. Where appropriate, a portion of the income payable to any UAH Employee's Unit may be shared with the UAH Employee’s department. </w:t>
      </w:r>
    </w:p>
    <w:p w14:paraId="35414AC6" w14:textId="77777777" w:rsidR="000B0E69" w:rsidRPr="00E07691" w:rsidRDefault="000B0E69" w:rsidP="000B0E69">
      <w:pPr>
        <w:spacing w:after="0" w:line="240" w:lineRule="auto"/>
        <w:ind w:left="1800" w:right="720"/>
        <w:jc w:val="both"/>
        <w:rPr>
          <w:rFonts w:ascii="Times New Roman" w:hAnsi="Times New Roman" w:cs="Times New Roman"/>
          <w:sz w:val="24"/>
          <w:szCs w:val="24"/>
        </w:rPr>
      </w:pPr>
    </w:p>
    <w:p w14:paraId="24DE708A" w14:textId="4F5BF1BD" w:rsidR="000B0E69" w:rsidRPr="00E07691" w:rsidRDefault="000B0E69" w:rsidP="000B0E69">
      <w:pPr>
        <w:spacing w:after="0" w:line="240" w:lineRule="auto"/>
        <w:ind w:left="1800" w:right="720"/>
        <w:jc w:val="both"/>
        <w:rPr>
          <w:rFonts w:ascii="Times New Roman" w:hAnsi="Times New Roman" w:cs="Times New Roman"/>
          <w:sz w:val="24"/>
          <w:szCs w:val="24"/>
        </w:rPr>
      </w:pPr>
      <w:r w:rsidRPr="00E07691">
        <w:rPr>
          <w:rFonts w:ascii="Times New Roman" w:hAnsi="Times New Roman" w:cs="Times New Roman"/>
          <w:sz w:val="24"/>
          <w:szCs w:val="24"/>
        </w:rPr>
        <w:t>Technology Transfer Fund is managed by the Office for the Vice President of Research and Economic Development for further patent and copyright development, as well as paying for any unreimbursed out-of-pocket patent and copyright expenses incurred by UAH.</w:t>
      </w:r>
    </w:p>
    <w:p w14:paraId="2639DCC2" w14:textId="77777777" w:rsidR="00B4293E" w:rsidRPr="00B34075" w:rsidRDefault="00B4293E" w:rsidP="00B4293E">
      <w:pPr>
        <w:numPr>
          <w:ilvl w:val="0"/>
          <w:numId w:val="1"/>
        </w:numPr>
        <w:shd w:val="clear" w:color="auto" w:fill="FFFFFF"/>
        <w:spacing w:before="100" w:beforeAutospacing="1" w:after="240" w:line="240" w:lineRule="auto"/>
        <w:rPr>
          <w:rFonts w:ascii="Times New Roman" w:eastAsia="Times New Roman" w:hAnsi="Times New Roman" w:cs="Times New Roman"/>
          <w:sz w:val="24"/>
          <w:szCs w:val="24"/>
        </w:rPr>
      </w:pPr>
      <w:r w:rsidRPr="00B34075">
        <w:rPr>
          <w:rFonts w:ascii="Times New Roman" w:eastAsia="Times New Roman" w:hAnsi="Times New Roman" w:cs="Times New Roman"/>
          <w:sz w:val="24"/>
          <w:szCs w:val="24"/>
        </w:rPr>
        <w:t xml:space="preserve">It is understood that many research contracts, grants, and consulting agreements from or with the United States Government or its agencies, corporations, or individuals contain ownership of intellectual property clauses that may be at variance with this policy but which, if </w:t>
      </w:r>
      <w:r w:rsidR="00A56340">
        <w:rPr>
          <w:rFonts w:ascii="Times New Roman" w:eastAsia="Times New Roman" w:hAnsi="Times New Roman" w:cs="Times New Roman"/>
          <w:sz w:val="24"/>
          <w:szCs w:val="24"/>
        </w:rPr>
        <w:t xml:space="preserve">agreed to, require compliance.  </w:t>
      </w:r>
      <w:r w:rsidRPr="00B34075">
        <w:rPr>
          <w:rFonts w:ascii="Times New Roman" w:eastAsia="Times New Roman" w:hAnsi="Times New Roman" w:cs="Times New Roman"/>
          <w:sz w:val="24"/>
          <w:szCs w:val="24"/>
        </w:rPr>
        <w:t>Such documents which are at variance with this policy may be referred to the appropriate designated officer of the campus for re</w:t>
      </w:r>
      <w:r w:rsidR="00A56340">
        <w:rPr>
          <w:rFonts w:ascii="Times New Roman" w:eastAsia="Times New Roman" w:hAnsi="Times New Roman" w:cs="Times New Roman"/>
          <w:sz w:val="24"/>
          <w:szCs w:val="24"/>
        </w:rPr>
        <w:t>commendation prior to approval.</w:t>
      </w:r>
    </w:p>
    <w:p w14:paraId="14D6D22D" w14:textId="77777777" w:rsidR="00B4293E" w:rsidRPr="00B34075" w:rsidRDefault="00B4293E" w:rsidP="00B4293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34075">
        <w:rPr>
          <w:rFonts w:ascii="Times New Roman" w:eastAsia="Times New Roman" w:hAnsi="Times New Roman" w:cs="Times New Roman"/>
          <w:sz w:val="24"/>
          <w:szCs w:val="24"/>
        </w:rPr>
        <w:t>This statement of policy shall not apply to copyrights except as they may pertain to inve</w:t>
      </w:r>
      <w:r w:rsidR="00A56340">
        <w:rPr>
          <w:rFonts w:ascii="Times New Roman" w:eastAsia="Times New Roman" w:hAnsi="Times New Roman" w:cs="Times New Roman"/>
          <w:sz w:val="24"/>
          <w:szCs w:val="24"/>
        </w:rPr>
        <w:t xml:space="preserve">ntions covered by this policy.  </w:t>
      </w:r>
      <w:r w:rsidRPr="00B34075">
        <w:rPr>
          <w:rFonts w:ascii="Times New Roman" w:eastAsia="Times New Roman" w:hAnsi="Times New Roman" w:cs="Times New Roman"/>
          <w:sz w:val="24"/>
          <w:szCs w:val="24"/>
        </w:rPr>
        <w:t>A sep</w:t>
      </w:r>
      <w:r w:rsidR="000511DF">
        <w:rPr>
          <w:rFonts w:ascii="Times New Roman" w:eastAsia="Times New Roman" w:hAnsi="Times New Roman" w:cs="Times New Roman"/>
          <w:sz w:val="24"/>
          <w:szCs w:val="24"/>
        </w:rPr>
        <w:t>arate copyright policy exists;</w:t>
      </w:r>
      <w:r w:rsidR="00A56340">
        <w:rPr>
          <w:rFonts w:ascii="Times New Roman" w:eastAsia="Times New Roman" w:hAnsi="Times New Roman" w:cs="Times New Roman"/>
          <w:sz w:val="24"/>
          <w:szCs w:val="24"/>
        </w:rPr>
        <w:t xml:space="preserve"> </w:t>
      </w:r>
      <w:r w:rsidR="000511DF">
        <w:rPr>
          <w:rFonts w:ascii="Times New Roman" w:eastAsia="Times New Roman" w:hAnsi="Times New Roman" w:cs="Times New Roman"/>
          <w:sz w:val="24"/>
          <w:szCs w:val="24"/>
        </w:rPr>
        <w:t>s</w:t>
      </w:r>
      <w:r w:rsidR="00A56340">
        <w:rPr>
          <w:rFonts w:ascii="Times New Roman" w:eastAsia="Times New Roman" w:hAnsi="Times New Roman" w:cs="Times New Roman"/>
          <w:sz w:val="24"/>
          <w:szCs w:val="24"/>
        </w:rPr>
        <w:t xml:space="preserve">ee </w:t>
      </w:r>
      <w:hyperlink r:id="rId5" w:history="1">
        <w:r w:rsidRPr="000511DF">
          <w:rPr>
            <w:rFonts w:ascii="Times New Roman" w:eastAsia="Times New Roman" w:hAnsi="Times New Roman" w:cs="Times New Roman"/>
            <w:sz w:val="24"/>
            <w:szCs w:val="24"/>
          </w:rPr>
          <w:t>Appendix H</w:t>
        </w:r>
      </w:hyperlink>
      <w:r w:rsidRPr="00B34075">
        <w:rPr>
          <w:rFonts w:ascii="Times New Roman" w:eastAsia="Times New Roman" w:hAnsi="Times New Roman" w:cs="Times New Roman"/>
          <w:sz w:val="24"/>
          <w:szCs w:val="24"/>
        </w:rPr>
        <w:t>.</w:t>
      </w:r>
    </w:p>
    <w:sectPr w:rsidR="00B4293E" w:rsidRPr="00B34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80292"/>
    <w:multiLevelType w:val="multilevel"/>
    <w:tmpl w:val="8616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416E41"/>
    <w:multiLevelType w:val="hybridMultilevel"/>
    <w:tmpl w:val="F272C476"/>
    <w:lvl w:ilvl="0" w:tplc="7EE45A8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3E"/>
    <w:rsid w:val="0000234F"/>
    <w:rsid w:val="000044C7"/>
    <w:rsid w:val="00005011"/>
    <w:rsid w:val="00005971"/>
    <w:rsid w:val="0001039F"/>
    <w:rsid w:val="000103A3"/>
    <w:rsid w:val="000132A0"/>
    <w:rsid w:val="0001496A"/>
    <w:rsid w:val="000156EA"/>
    <w:rsid w:val="00024B45"/>
    <w:rsid w:val="000336E2"/>
    <w:rsid w:val="00033D45"/>
    <w:rsid w:val="00036EF4"/>
    <w:rsid w:val="000478AA"/>
    <w:rsid w:val="000511DF"/>
    <w:rsid w:val="00057187"/>
    <w:rsid w:val="00064B84"/>
    <w:rsid w:val="00083F14"/>
    <w:rsid w:val="00084064"/>
    <w:rsid w:val="00087C38"/>
    <w:rsid w:val="00090FA9"/>
    <w:rsid w:val="00092CAB"/>
    <w:rsid w:val="000A58B4"/>
    <w:rsid w:val="000B0E69"/>
    <w:rsid w:val="000B30CC"/>
    <w:rsid w:val="000B57DB"/>
    <w:rsid w:val="000B6A91"/>
    <w:rsid w:val="000B7EB9"/>
    <w:rsid w:val="000C37C3"/>
    <w:rsid w:val="000C627B"/>
    <w:rsid w:val="000C72BE"/>
    <w:rsid w:val="000D1688"/>
    <w:rsid w:val="000D43BE"/>
    <w:rsid w:val="000D4484"/>
    <w:rsid w:val="000E5154"/>
    <w:rsid w:val="000E66E1"/>
    <w:rsid w:val="000F06BC"/>
    <w:rsid w:val="001018AD"/>
    <w:rsid w:val="00102507"/>
    <w:rsid w:val="00134919"/>
    <w:rsid w:val="001373E8"/>
    <w:rsid w:val="0013793A"/>
    <w:rsid w:val="0014302F"/>
    <w:rsid w:val="00151E92"/>
    <w:rsid w:val="00154B8F"/>
    <w:rsid w:val="001569EF"/>
    <w:rsid w:val="001614CE"/>
    <w:rsid w:val="00162EA0"/>
    <w:rsid w:val="0016553D"/>
    <w:rsid w:val="00165C01"/>
    <w:rsid w:val="00172124"/>
    <w:rsid w:val="00177477"/>
    <w:rsid w:val="0017756E"/>
    <w:rsid w:val="00191388"/>
    <w:rsid w:val="00191481"/>
    <w:rsid w:val="00192628"/>
    <w:rsid w:val="001A0EA0"/>
    <w:rsid w:val="001A54A4"/>
    <w:rsid w:val="001A75E1"/>
    <w:rsid w:val="001B21C9"/>
    <w:rsid w:val="001B3F3A"/>
    <w:rsid w:val="001C04E6"/>
    <w:rsid w:val="001C13CB"/>
    <w:rsid w:val="001C13F5"/>
    <w:rsid w:val="001D1A28"/>
    <w:rsid w:val="001D288D"/>
    <w:rsid w:val="001D3211"/>
    <w:rsid w:val="001D61FC"/>
    <w:rsid w:val="001D6588"/>
    <w:rsid w:val="001D7A93"/>
    <w:rsid w:val="001E0DFD"/>
    <w:rsid w:val="001E330F"/>
    <w:rsid w:val="001E3710"/>
    <w:rsid w:val="001E6A81"/>
    <w:rsid w:val="001F02CF"/>
    <w:rsid w:val="001F284C"/>
    <w:rsid w:val="001F4675"/>
    <w:rsid w:val="001F6856"/>
    <w:rsid w:val="002026DD"/>
    <w:rsid w:val="00203B11"/>
    <w:rsid w:val="00206F07"/>
    <w:rsid w:val="00210B37"/>
    <w:rsid w:val="00210D43"/>
    <w:rsid w:val="00211954"/>
    <w:rsid w:val="00212923"/>
    <w:rsid w:val="00216959"/>
    <w:rsid w:val="0022092D"/>
    <w:rsid w:val="00227F62"/>
    <w:rsid w:val="002304A0"/>
    <w:rsid w:val="00232CC2"/>
    <w:rsid w:val="00234720"/>
    <w:rsid w:val="00237164"/>
    <w:rsid w:val="00241001"/>
    <w:rsid w:val="00241989"/>
    <w:rsid w:val="00253BBD"/>
    <w:rsid w:val="002542CF"/>
    <w:rsid w:val="00256AD5"/>
    <w:rsid w:val="00260E4A"/>
    <w:rsid w:val="00264969"/>
    <w:rsid w:val="00270076"/>
    <w:rsid w:val="00280480"/>
    <w:rsid w:val="00283331"/>
    <w:rsid w:val="00286207"/>
    <w:rsid w:val="002943B3"/>
    <w:rsid w:val="002A2D46"/>
    <w:rsid w:val="002A3E56"/>
    <w:rsid w:val="002A6226"/>
    <w:rsid w:val="002B09EB"/>
    <w:rsid w:val="002B2039"/>
    <w:rsid w:val="002B2B6C"/>
    <w:rsid w:val="002B6D56"/>
    <w:rsid w:val="002C588D"/>
    <w:rsid w:val="002C6273"/>
    <w:rsid w:val="002D18D2"/>
    <w:rsid w:val="002D31F9"/>
    <w:rsid w:val="002E658E"/>
    <w:rsid w:val="002F0C78"/>
    <w:rsid w:val="002F179F"/>
    <w:rsid w:val="0030252B"/>
    <w:rsid w:val="003121E2"/>
    <w:rsid w:val="00315274"/>
    <w:rsid w:val="00325914"/>
    <w:rsid w:val="00333951"/>
    <w:rsid w:val="00340AE7"/>
    <w:rsid w:val="00340C1E"/>
    <w:rsid w:val="00346409"/>
    <w:rsid w:val="003517A1"/>
    <w:rsid w:val="00355E40"/>
    <w:rsid w:val="00371160"/>
    <w:rsid w:val="00373860"/>
    <w:rsid w:val="003757FD"/>
    <w:rsid w:val="00376A9E"/>
    <w:rsid w:val="00377376"/>
    <w:rsid w:val="003773DF"/>
    <w:rsid w:val="00390B8F"/>
    <w:rsid w:val="003911E7"/>
    <w:rsid w:val="003931DC"/>
    <w:rsid w:val="00393521"/>
    <w:rsid w:val="003958CA"/>
    <w:rsid w:val="003A5CCE"/>
    <w:rsid w:val="003A70DD"/>
    <w:rsid w:val="003B0BCA"/>
    <w:rsid w:val="003B12CE"/>
    <w:rsid w:val="003B40E2"/>
    <w:rsid w:val="003B4284"/>
    <w:rsid w:val="003B46FB"/>
    <w:rsid w:val="003B6AF2"/>
    <w:rsid w:val="003B7428"/>
    <w:rsid w:val="003C5056"/>
    <w:rsid w:val="003D2318"/>
    <w:rsid w:val="003D63FA"/>
    <w:rsid w:val="003E192E"/>
    <w:rsid w:val="003E3036"/>
    <w:rsid w:val="003E462E"/>
    <w:rsid w:val="003F33A0"/>
    <w:rsid w:val="003F53F0"/>
    <w:rsid w:val="00400F6D"/>
    <w:rsid w:val="004021D3"/>
    <w:rsid w:val="00404A67"/>
    <w:rsid w:val="00406F7A"/>
    <w:rsid w:val="00414CA8"/>
    <w:rsid w:val="00431F80"/>
    <w:rsid w:val="004340D0"/>
    <w:rsid w:val="00444B2D"/>
    <w:rsid w:val="0044784A"/>
    <w:rsid w:val="004505BA"/>
    <w:rsid w:val="00464849"/>
    <w:rsid w:val="00464B38"/>
    <w:rsid w:val="00472D66"/>
    <w:rsid w:val="004743AA"/>
    <w:rsid w:val="004815C8"/>
    <w:rsid w:val="00484B35"/>
    <w:rsid w:val="004933BC"/>
    <w:rsid w:val="004A2FC7"/>
    <w:rsid w:val="004A7A44"/>
    <w:rsid w:val="004B4A7D"/>
    <w:rsid w:val="004B51BD"/>
    <w:rsid w:val="004B7624"/>
    <w:rsid w:val="004C5D5B"/>
    <w:rsid w:val="004C6AF1"/>
    <w:rsid w:val="004C78E1"/>
    <w:rsid w:val="004D37EA"/>
    <w:rsid w:val="004D5A65"/>
    <w:rsid w:val="004D667E"/>
    <w:rsid w:val="004E144A"/>
    <w:rsid w:val="004F4D28"/>
    <w:rsid w:val="0050630C"/>
    <w:rsid w:val="00510E01"/>
    <w:rsid w:val="005152B3"/>
    <w:rsid w:val="005174E6"/>
    <w:rsid w:val="00520C0F"/>
    <w:rsid w:val="00522660"/>
    <w:rsid w:val="00524148"/>
    <w:rsid w:val="00527EE1"/>
    <w:rsid w:val="00546786"/>
    <w:rsid w:val="00554FCC"/>
    <w:rsid w:val="00556AC0"/>
    <w:rsid w:val="00565C10"/>
    <w:rsid w:val="00565FC9"/>
    <w:rsid w:val="00566FA1"/>
    <w:rsid w:val="005708C3"/>
    <w:rsid w:val="00571252"/>
    <w:rsid w:val="00571D7E"/>
    <w:rsid w:val="00577560"/>
    <w:rsid w:val="00580FED"/>
    <w:rsid w:val="00581B25"/>
    <w:rsid w:val="005843BD"/>
    <w:rsid w:val="00586602"/>
    <w:rsid w:val="005912C7"/>
    <w:rsid w:val="005925A1"/>
    <w:rsid w:val="00593CE5"/>
    <w:rsid w:val="00597320"/>
    <w:rsid w:val="005A0830"/>
    <w:rsid w:val="005A12F4"/>
    <w:rsid w:val="005A16F9"/>
    <w:rsid w:val="005A55CE"/>
    <w:rsid w:val="005B2805"/>
    <w:rsid w:val="005B52A6"/>
    <w:rsid w:val="005D0FC3"/>
    <w:rsid w:val="005D65CE"/>
    <w:rsid w:val="005E5E95"/>
    <w:rsid w:val="005F1B64"/>
    <w:rsid w:val="005F3482"/>
    <w:rsid w:val="005F43A7"/>
    <w:rsid w:val="005F657B"/>
    <w:rsid w:val="0061071D"/>
    <w:rsid w:val="00612B7E"/>
    <w:rsid w:val="006174E8"/>
    <w:rsid w:val="006306B9"/>
    <w:rsid w:val="006318FE"/>
    <w:rsid w:val="0063676F"/>
    <w:rsid w:val="0063710E"/>
    <w:rsid w:val="006405FC"/>
    <w:rsid w:val="006464D8"/>
    <w:rsid w:val="00650679"/>
    <w:rsid w:val="00654DB5"/>
    <w:rsid w:val="00655BE5"/>
    <w:rsid w:val="006601DA"/>
    <w:rsid w:val="00662BF2"/>
    <w:rsid w:val="00663AC8"/>
    <w:rsid w:val="00665EE7"/>
    <w:rsid w:val="00670B08"/>
    <w:rsid w:val="00670F96"/>
    <w:rsid w:val="00677205"/>
    <w:rsid w:val="006776EF"/>
    <w:rsid w:val="006911CC"/>
    <w:rsid w:val="006934EF"/>
    <w:rsid w:val="006943EA"/>
    <w:rsid w:val="00694F7C"/>
    <w:rsid w:val="00696A53"/>
    <w:rsid w:val="006A2425"/>
    <w:rsid w:val="006A2D9A"/>
    <w:rsid w:val="006A7322"/>
    <w:rsid w:val="006A75D0"/>
    <w:rsid w:val="006B41A1"/>
    <w:rsid w:val="006B6AC8"/>
    <w:rsid w:val="006B7196"/>
    <w:rsid w:val="006D31AC"/>
    <w:rsid w:val="006D585D"/>
    <w:rsid w:val="006D613C"/>
    <w:rsid w:val="006E1F54"/>
    <w:rsid w:val="006E37CE"/>
    <w:rsid w:val="006F0A93"/>
    <w:rsid w:val="007025BD"/>
    <w:rsid w:val="0070642E"/>
    <w:rsid w:val="007065CA"/>
    <w:rsid w:val="00716399"/>
    <w:rsid w:val="007334CB"/>
    <w:rsid w:val="007350BE"/>
    <w:rsid w:val="00736A15"/>
    <w:rsid w:val="00740246"/>
    <w:rsid w:val="007413E7"/>
    <w:rsid w:val="007478CE"/>
    <w:rsid w:val="00747995"/>
    <w:rsid w:val="0075423E"/>
    <w:rsid w:val="00754FEF"/>
    <w:rsid w:val="00763401"/>
    <w:rsid w:val="00763DBE"/>
    <w:rsid w:val="00763DDF"/>
    <w:rsid w:val="0076577A"/>
    <w:rsid w:val="00773E31"/>
    <w:rsid w:val="00775AE5"/>
    <w:rsid w:val="00775D49"/>
    <w:rsid w:val="007860BB"/>
    <w:rsid w:val="007906FA"/>
    <w:rsid w:val="00790859"/>
    <w:rsid w:val="0079302A"/>
    <w:rsid w:val="00794F0B"/>
    <w:rsid w:val="00795F77"/>
    <w:rsid w:val="007975D9"/>
    <w:rsid w:val="007A2DFB"/>
    <w:rsid w:val="007A5143"/>
    <w:rsid w:val="007B5F2E"/>
    <w:rsid w:val="007B60E1"/>
    <w:rsid w:val="007C5056"/>
    <w:rsid w:val="007D09FD"/>
    <w:rsid w:val="007D6404"/>
    <w:rsid w:val="007E394F"/>
    <w:rsid w:val="00806834"/>
    <w:rsid w:val="00807470"/>
    <w:rsid w:val="0081051D"/>
    <w:rsid w:val="00827454"/>
    <w:rsid w:val="008353E4"/>
    <w:rsid w:val="008363E4"/>
    <w:rsid w:val="0084698A"/>
    <w:rsid w:val="00847010"/>
    <w:rsid w:val="00850D5E"/>
    <w:rsid w:val="00860AEE"/>
    <w:rsid w:val="00861519"/>
    <w:rsid w:val="00862275"/>
    <w:rsid w:val="0086229F"/>
    <w:rsid w:val="00862337"/>
    <w:rsid w:val="008664E8"/>
    <w:rsid w:val="008747D0"/>
    <w:rsid w:val="008761FC"/>
    <w:rsid w:val="0088282A"/>
    <w:rsid w:val="00885722"/>
    <w:rsid w:val="008A5C52"/>
    <w:rsid w:val="008A7860"/>
    <w:rsid w:val="008A7F23"/>
    <w:rsid w:val="008C00EA"/>
    <w:rsid w:val="008C1409"/>
    <w:rsid w:val="008C18C6"/>
    <w:rsid w:val="008C6465"/>
    <w:rsid w:val="008C6643"/>
    <w:rsid w:val="008C76F6"/>
    <w:rsid w:val="008D4B4F"/>
    <w:rsid w:val="008E4B69"/>
    <w:rsid w:val="008F3790"/>
    <w:rsid w:val="0090160B"/>
    <w:rsid w:val="009122F2"/>
    <w:rsid w:val="0091277E"/>
    <w:rsid w:val="0091319F"/>
    <w:rsid w:val="00913B15"/>
    <w:rsid w:val="00917B75"/>
    <w:rsid w:val="00920154"/>
    <w:rsid w:val="009234D2"/>
    <w:rsid w:val="00924C9A"/>
    <w:rsid w:val="0093028C"/>
    <w:rsid w:val="009303F9"/>
    <w:rsid w:val="009372E8"/>
    <w:rsid w:val="00941E0A"/>
    <w:rsid w:val="009560AB"/>
    <w:rsid w:val="00957401"/>
    <w:rsid w:val="00963772"/>
    <w:rsid w:val="00965B02"/>
    <w:rsid w:val="00967A49"/>
    <w:rsid w:val="0097256B"/>
    <w:rsid w:val="009747FE"/>
    <w:rsid w:val="00974968"/>
    <w:rsid w:val="00981D15"/>
    <w:rsid w:val="00982A94"/>
    <w:rsid w:val="00984445"/>
    <w:rsid w:val="009861A1"/>
    <w:rsid w:val="0099271E"/>
    <w:rsid w:val="009A1CC3"/>
    <w:rsid w:val="009A3964"/>
    <w:rsid w:val="009B719B"/>
    <w:rsid w:val="009B71AE"/>
    <w:rsid w:val="009D4B3E"/>
    <w:rsid w:val="009E35C5"/>
    <w:rsid w:val="009E416C"/>
    <w:rsid w:val="009E4706"/>
    <w:rsid w:val="009E5B80"/>
    <w:rsid w:val="009E72BD"/>
    <w:rsid w:val="009E75FA"/>
    <w:rsid w:val="00A00CB8"/>
    <w:rsid w:val="00A05CF6"/>
    <w:rsid w:val="00A15809"/>
    <w:rsid w:val="00A169DA"/>
    <w:rsid w:val="00A238A4"/>
    <w:rsid w:val="00A23F48"/>
    <w:rsid w:val="00A2737E"/>
    <w:rsid w:val="00A3079A"/>
    <w:rsid w:val="00A323A6"/>
    <w:rsid w:val="00A56340"/>
    <w:rsid w:val="00A61525"/>
    <w:rsid w:val="00A628DC"/>
    <w:rsid w:val="00A6478D"/>
    <w:rsid w:val="00A7183D"/>
    <w:rsid w:val="00A76397"/>
    <w:rsid w:val="00A770A9"/>
    <w:rsid w:val="00A92993"/>
    <w:rsid w:val="00A92E3E"/>
    <w:rsid w:val="00A93DF7"/>
    <w:rsid w:val="00A96A00"/>
    <w:rsid w:val="00AA0C4B"/>
    <w:rsid w:val="00AB3398"/>
    <w:rsid w:val="00AC1C5F"/>
    <w:rsid w:val="00AC6D50"/>
    <w:rsid w:val="00AC79BE"/>
    <w:rsid w:val="00AD207E"/>
    <w:rsid w:val="00AD5598"/>
    <w:rsid w:val="00AD614F"/>
    <w:rsid w:val="00AE145E"/>
    <w:rsid w:val="00AE5BC2"/>
    <w:rsid w:val="00AF2D42"/>
    <w:rsid w:val="00AF573D"/>
    <w:rsid w:val="00B03152"/>
    <w:rsid w:val="00B03176"/>
    <w:rsid w:val="00B05175"/>
    <w:rsid w:val="00B12522"/>
    <w:rsid w:val="00B14AB0"/>
    <w:rsid w:val="00B17C98"/>
    <w:rsid w:val="00B20C8F"/>
    <w:rsid w:val="00B2640D"/>
    <w:rsid w:val="00B26F55"/>
    <w:rsid w:val="00B34075"/>
    <w:rsid w:val="00B4293E"/>
    <w:rsid w:val="00B43BA3"/>
    <w:rsid w:val="00B440BB"/>
    <w:rsid w:val="00B47598"/>
    <w:rsid w:val="00B50301"/>
    <w:rsid w:val="00B50417"/>
    <w:rsid w:val="00B53711"/>
    <w:rsid w:val="00B615E7"/>
    <w:rsid w:val="00B66E2B"/>
    <w:rsid w:val="00B67943"/>
    <w:rsid w:val="00B71064"/>
    <w:rsid w:val="00B84A7E"/>
    <w:rsid w:val="00B85C25"/>
    <w:rsid w:val="00B93BA5"/>
    <w:rsid w:val="00BA1D48"/>
    <w:rsid w:val="00BA760A"/>
    <w:rsid w:val="00BA77BE"/>
    <w:rsid w:val="00BA7C9D"/>
    <w:rsid w:val="00BB12EC"/>
    <w:rsid w:val="00BB190F"/>
    <w:rsid w:val="00BB315C"/>
    <w:rsid w:val="00BB5036"/>
    <w:rsid w:val="00BB5FE2"/>
    <w:rsid w:val="00BC09AD"/>
    <w:rsid w:val="00BC4A2F"/>
    <w:rsid w:val="00BD206A"/>
    <w:rsid w:val="00BD421E"/>
    <w:rsid w:val="00BD4DDC"/>
    <w:rsid w:val="00BE2E61"/>
    <w:rsid w:val="00C03FC5"/>
    <w:rsid w:val="00C054C5"/>
    <w:rsid w:val="00C073B3"/>
    <w:rsid w:val="00C12AF6"/>
    <w:rsid w:val="00C14F0A"/>
    <w:rsid w:val="00C16421"/>
    <w:rsid w:val="00C26281"/>
    <w:rsid w:val="00C3006C"/>
    <w:rsid w:val="00C31F45"/>
    <w:rsid w:val="00C43A28"/>
    <w:rsid w:val="00C45208"/>
    <w:rsid w:val="00C454AB"/>
    <w:rsid w:val="00C463C0"/>
    <w:rsid w:val="00C60C58"/>
    <w:rsid w:val="00C672F9"/>
    <w:rsid w:val="00C70492"/>
    <w:rsid w:val="00C72104"/>
    <w:rsid w:val="00C76FA5"/>
    <w:rsid w:val="00C86551"/>
    <w:rsid w:val="00C90450"/>
    <w:rsid w:val="00CA0250"/>
    <w:rsid w:val="00CA07F8"/>
    <w:rsid w:val="00CA4B86"/>
    <w:rsid w:val="00CB5097"/>
    <w:rsid w:val="00CB65CD"/>
    <w:rsid w:val="00CB7390"/>
    <w:rsid w:val="00CC27B2"/>
    <w:rsid w:val="00CC78DE"/>
    <w:rsid w:val="00CD675F"/>
    <w:rsid w:val="00CE078B"/>
    <w:rsid w:val="00CE3FE7"/>
    <w:rsid w:val="00CF58E9"/>
    <w:rsid w:val="00D02C65"/>
    <w:rsid w:val="00D1751D"/>
    <w:rsid w:val="00D17616"/>
    <w:rsid w:val="00D21AD0"/>
    <w:rsid w:val="00D21C47"/>
    <w:rsid w:val="00D236C3"/>
    <w:rsid w:val="00D25D48"/>
    <w:rsid w:val="00D32F37"/>
    <w:rsid w:val="00D32F7C"/>
    <w:rsid w:val="00D42AB9"/>
    <w:rsid w:val="00D4333B"/>
    <w:rsid w:val="00D43F85"/>
    <w:rsid w:val="00D52CB2"/>
    <w:rsid w:val="00D61775"/>
    <w:rsid w:val="00D65B22"/>
    <w:rsid w:val="00D751C4"/>
    <w:rsid w:val="00D84071"/>
    <w:rsid w:val="00D92263"/>
    <w:rsid w:val="00D96A4B"/>
    <w:rsid w:val="00D97597"/>
    <w:rsid w:val="00DA49EE"/>
    <w:rsid w:val="00DA6937"/>
    <w:rsid w:val="00DB0A95"/>
    <w:rsid w:val="00DB553A"/>
    <w:rsid w:val="00DB77F6"/>
    <w:rsid w:val="00DC0E65"/>
    <w:rsid w:val="00DC5DB2"/>
    <w:rsid w:val="00DD568D"/>
    <w:rsid w:val="00DE6135"/>
    <w:rsid w:val="00DF4B2A"/>
    <w:rsid w:val="00DF501C"/>
    <w:rsid w:val="00E03937"/>
    <w:rsid w:val="00E07691"/>
    <w:rsid w:val="00E07C4F"/>
    <w:rsid w:val="00E10D2F"/>
    <w:rsid w:val="00E130A5"/>
    <w:rsid w:val="00E14ADF"/>
    <w:rsid w:val="00E17593"/>
    <w:rsid w:val="00E17EDA"/>
    <w:rsid w:val="00E22B40"/>
    <w:rsid w:val="00E255D3"/>
    <w:rsid w:val="00E25B25"/>
    <w:rsid w:val="00E26D69"/>
    <w:rsid w:val="00E27035"/>
    <w:rsid w:val="00E33143"/>
    <w:rsid w:val="00E35D8B"/>
    <w:rsid w:val="00E4183D"/>
    <w:rsid w:val="00E441F9"/>
    <w:rsid w:val="00E4740B"/>
    <w:rsid w:val="00E516BA"/>
    <w:rsid w:val="00E52204"/>
    <w:rsid w:val="00E63647"/>
    <w:rsid w:val="00E716AF"/>
    <w:rsid w:val="00E86273"/>
    <w:rsid w:val="00E97616"/>
    <w:rsid w:val="00E97C6F"/>
    <w:rsid w:val="00EA04C2"/>
    <w:rsid w:val="00EA1BC0"/>
    <w:rsid w:val="00EB13FF"/>
    <w:rsid w:val="00EB3B78"/>
    <w:rsid w:val="00EB6744"/>
    <w:rsid w:val="00EC0725"/>
    <w:rsid w:val="00EC2830"/>
    <w:rsid w:val="00EC2AC6"/>
    <w:rsid w:val="00EC7D7A"/>
    <w:rsid w:val="00ED04BE"/>
    <w:rsid w:val="00ED41F8"/>
    <w:rsid w:val="00ED6F71"/>
    <w:rsid w:val="00EE0AC3"/>
    <w:rsid w:val="00EE104B"/>
    <w:rsid w:val="00EE7B47"/>
    <w:rsid w:val="00EF1380"/>
    <w:rsid w:val="00F03AB6"/>
    <w:rsid w:val="00F04E75"/>
    <w:rsid w:val="00F066F7"/>
    <w:rsid w:val="00F06EA6"/>
    <w:rsid w:val="00F201C9"/>
    <w:rsid w:val="00F224C5"/>
    <w:rsid w:val="00F23D62"/>
    <w:rsid w:val="00F24FD7"/>
    <w:rsid w:val="00F30124"/>
    <w:rsid w:val="00F315EC"/>
    <w:rsid w:val="00F34A85"/>
    <w:rsid w:val="00F404E4"/>
    <w:rsid w:val="00F53263"/>
    <w:rsid w:val="00F54646"/>
    <w:rsid w:val="00F606D9"/>
    <w:rsid w:val="00F610E0"/>
    <w:rsid w:val="00F628F9"/>
    <w:rsid w:val="00F73274"/>
    <w:rsid w:val="00F75E5C"/>
    <w:rsid w:val="00F75EB3"/>
    <w:rsid w:val="00F83F3D"/>
    <w:rsid w:val="00F90C1D"/>
    <w:rsid w:val="00F9159D"/>
    <w:rsid w:val="00F97370"/>
    <w:rsid w:val="00FB1457"/>
    <w:rsid w:val="00FB1C09"/>
    <w:rsid w:val="00FB5610"/>
    <w:rsid w:val="00FC0493"/>
    <w:rsid w:val="00FC22E5"/>
    <w:rsid w:val="00FD5873"/>
    <w:rsid w:val="00FD7C6A"/>
    <w:rsid w:val="00FE23CA"/>
    <w:rsid w:val="00FE259B"/>
    <w:rsid w:val="00FE5EB9"/>
    <w:rsid w:val="00FF4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B370"/>
  <w15:chartTrackingRefBased/>
  <w15:docId w15:val="{D5B8AA92-4881-47FA-8A95-67EB754C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429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293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4293E"/>
    <w:rPr>
      <w:color w:val="0000FF"/>
      <w:u w:val="single"/>
    </w:rPr>
  </w:style>
  <w:style w:type="paragraph" w:styleId="ListParagraph">
    <w:name w:val="List Paragraph"/>
    <w:basedOn w:val="Normal"/>
    <w:uiPriority w:val="34"/>
    <w:qFormat/>
    <w:rsid w:val="000B0E69"/>
    <w:pPr>
      <w:spacing w:after="200" w:line="276" w:lineRule="auto"/>
      <w:ind w:left="720"/>
      <w:contextualSpacing/>
    </w:pPr>
    <w:rPr>
      <w:rFonts w:eastAsiaTheme="minorEastAsia"/>
    </w:rPr>
  </w:style>
  <w:style w:type="character" w:styleId="CommentReference">
    <w:name w:val="annotation reference"/>
    <w:basedOn w:val="DefaultParagraphFont"/>
    <w:uiPriority w:val="99"/>
    <w:semiHidden/>
    <w:unhideWhenUsed/>
    <w:rsid w:val="000B0E69"/>
    <w:rPr>
      <w:sz w:val="16"/>
      <w:szCs w:val="16"/>
    </w:rPr>
  </w:style>
  <w:style w:type="paragraph" w:styleId="CommentText">
    <w:name w:val="annotation text"/>
    <w:basedOn w:val="Normal"/>
    <w:link w:val="CommentTextChar"/>
    <w:uiPriority w:val="99"/>
    <w:semiHidden/>
    <w:unhideWhenUsed/>
    <w:rsid w:val="000B0E6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B0E69"/>
    <w:rPr>
      <w:rFonts w:ascii="Times New Roman" w:eastAsia="Times New Roman" w:hAnsi="Times New Roman" w:cs="Times New Roman"/>
      <w:sz w:val="20"/>
      <w:szCs w:val="20"/>
    </w:rPr>
  </w:style>
  <w:style w:type="table" w:styleId="TableGrid">
    <w:name w:val="Table Grid"/>
    <w:basedOn w:val="TableNormal"/>
    <w:rsid w:val="000B0E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04BE"/>
    <w:pPr>
      <w:spacing w:after="0" w:line="240" w:lineRule="auto"/>
    </w:pPr>
  </w:style>
  <w:style w:type="paragraph" w:styleId="BalloonText">
    <w:name w:val="Balloon Text"/>
    <w:basedOn w:val="Normal"/>
    <w:link w:val="BalloonTextChar"/>
    <w:uiPriority w:val="99"/>
    <w:semiHidden/>
    <w:unhideWhenUsed/>
    <w:rsid w:val="00ED0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4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555207">
      <w:bodyDiv w:val="1"/>
      <w:marLeft w:val="0"/>
      <w:marRight w:val="0"/>
      <w:marTop w:val="0"/>
      <w:marBottom w:val="0"/>
      <w:divBdr>
        <w:top w:val="none" w:sz="0" w:space="0" w:color="auto"/>
        <w:left w:val="none" w:sz="0" w:space="0" w:color="auto"/>
        <w:bottom w:val="none" w:sz="0" w:space="0" w:color="auto"/>
        <w:right w:val="none" w:sz="0" w:space="0" w:color="auto"/>
      </w:divBdr>
    </w:div>
    <w:div w:id="1290238099">
      <w:bodyDiv w:val="1"/>
      <w:marLeft w:val="0"/>
      <w:marRight w:val="0"/>
      <w:marTop w:val="0"/>
      <w:marBottom w:val="0"/>
      <w:divBdr>
        <w:top w:val="none" w:sz="0" w:space="0" w:color="auto"/>
        <w:left w:val="none" w:sz="0" w:space="0" w:color="auto"/>
        <w:bottom w:val="none" w:sz="0" w:space="0" w:color="auto"/>
        <w:right w:val="none" w:sz="0" w:space="0" w:color="auto"/>
      </w:divBdr>
    </w:div>
    <w:div w:id="133569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acultyhandbook.ua.edu/appendix-h.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TotalTime>
  <Pages>5</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Banish</dc:creator>
  <cp:keywords/>
  <dc:description/>
  <cp:lastModifiedBy>Microsoft account</cp:lastModifiedBy>
  <cp:revision>4</cp:revision>
  <dcterms:created xsi:type="dcterms:W3CDTF">2017-09-21T22:28:00Z</dcterms:created>
  <dcterms:modified xsi:type="dcterms:W3CDTF">2017-09-22T15:56:00Z</dcterms:modified>
</cp:coreProperties>
</file>