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A4" w:rsidRPr="004070A4" w:rsidRDefault="004070A4" w:rsidP="001A1775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UAH </w:t>
      </w:r>
      <w:r w:rsidR="00361DB5" w:rsidRPr="00361DB5">
        <w:rPr>
          <w:b/>
        </w:rPr>
        <w:t>Environm</w:t>
      </w:r>
      <w:r w:rsidR="00B97BFB">
        <w:rPr>
          <w:b/>
        </w:rPr>
        <w:t xml:space="preserve">ental Health &amp; Safety Committee </w:t>
      </w:r>
      <w:r w:rsidR="00B97BFB">
        <w:rPr>
          <w:b/>
        </w:rPr>
        <w:br/>
      </w:r>
      <w:r w:rsidR="001105C5">
        <w:rPr>
          <w:b/>
        </w:rPr>
        <w:t xml:space="preserve">AGENDA </w:t>
      </w:r>
      <w:r w:rsidR="003A6EAE">
        <w:rPr>
          <w:b/>
        </w:rPr>
        <w:t>–</w:t>
      </w:r>
      <w:r w:rsidR="001105C5">
        <w:rPr>
          <w:b/>
        </w:rPr>
        <w:t xml:space="preserve"> </w:t>
      </w:r>
      <w:r w:rsidR="00CE4AE3">
        <w:rPr>
          <w:b/>
        </w:rPr>
        <w:t>April 9</w:t>
      </w:r>
      <w:r w:rsidR="00C468C7">
        <w:rPr>
          <w:b/>
        </w:rPr>
        <w:t xml:space="preserve">, </w:t>
      </w:r>
      <w:r w:rsidR="0075565B">
        <w:rPr>
          <w:b/>
        </w:rPr>
        <w:t>201</w:t>
      </w:r>
      <w:r w:rsidR="00CE4AE3">
        <w:rPr>
          <w:b/>
        </w:rPr>
        <w:t>5</w:t>
      </w:r>
      <w:r>
        <w:rPr>
          <w:b/>
        </w:rPr>
        <w:br/>
      </w:r>
      <w:r w:rsidRPr="004070A4">
        <w:rPr>
          <w:b/>
        </w:rPr>
        <w:t>VBRH M33, UAH Campus</w:t>
      </w:r>
    </w:p>
    <w:p w:rsidR="004070A4" w:rsidRPr="001A1775" w:rsidRDefault="004070A4" w:rsidP="001A1775">
      <w:pPr>
        <w:pStyle w:val="ListParagraph"/>
        <w:numPr>
          <w:ilvl w:val="0"/>
          <w:numId w:val="5"/>
        </w:numPr>
        <w:spacing w:line="240" w:lineRule="auto"/>
      </w:pPr>
      <w:r w:rsidRPr="001A1775">
        <w:t>Call to Order</w:t>
      </w:r>
    </w:p>
    <w:tbl>
      <w:tblPr>
        <w:tblStyle w:val="TableGrid"/>
        <w:tblpPr w:leftFromText="180" w:rightFromText="180" w:vertAnchor="text" w:horzAnchor="margin" w:tblpX="468" w:tblpY="365"/>
        <w:tblW w:w="0" w:type="auto"/>
        <w:tblLook w:val="04A0" w:firstRow="1" w:lastRow="0" w:firstColumn="1" w:lastColumn="0" w:noHBand="0" w:noVBand="1"/>
      </w:tblPr>
      <w:tblGrid>
        <w:gridCol w:w="519"/>
        <w:gridCol w:w="4539"/>
        <w:gridCol w:w="4310"/>
      </w:tblGrid>
      <w:tr w:rsidR="001A1775" w:rsidRPr="001A1775" w:rsidTr="002C77AE">
        <w:trPr>
          <w:trHeight w:val="432"/>
        </w:trPr>
        <w:tc>
          <w:tcPr>
            <w:tcW w:w="519" w:type="dxa"/>
            <w:vAlign w:val="center"/>
          </w:tcPr>
          <w:p w:rsidR="001A1775" w:rsidRPr="001A1775" w:rsidRDefault="00A87147" w:rsidP="002C77AE">
            <w:pPr>
              <w:contextualSpacing/>
            </w:pPr>
            <w:r>
              <w:t>Yes</w:t>
            </w:r>
          </w:p>
        </w:tc>
        <w:tc>
          <w:tcPr>
            <w:tcW w:w="4539" w:type="dxa"/>
            <w:vAlign w:val="center"/>
          </w:tcPr>
          <w:p w:rsidR="001A1775" w:rsidRPr="001A1775" w:rsidRDefault="001A1775" w:rsidP="002C77AE">
            <w:pPr>
              <w:contextualSpacing/>
            </w:pPr>
            <w:r w:rsidRPr="001A1775">
              <w:t>Cates, John (Compliance Officer)</w:t>
            </w:r>
          </w:p>
        </w:tc>
        <w:tc>
          <w:tcPr>
            <w:tcW w:w="4310" w:type="dxa"/>
            <w:vAlign w:val="center"/>
          </w:tcPr>
          <w:p w:rsidR="001A1775" w:rsidRPr="001A1775" w:rsidRDefault="001A1775" w:rsidP="002C77AE">
            <w:pPr>
              <w:contextualSpacing/>
            </w:pPr>
          </w:p>
        </w:tc>
      </w:tr>
      <w:tr w:rsidR="001A1775" w:rsidRPr="001A1775" w:rsidTr="002C77AE">
        <w:trPr>
          <w:trHeight w:val="432"/>
        </w:trPr>
        <w:tc>
          <w:tcPr>
            <w:tcW w:w="519" w:type="dxa"/>
            <w:vAlign w:val="center"/>
          </w:tcPr>
          <w:p w:rsidR="001A1775" w:rsidRPr="001A1775" w:rsidRDefault="00A87147" w:rsidP="002C77AE">
            <w:pPr>
              <w:contextualSpacing/>
            </w:pPr>
            <w:r>
              <w:t>Yes</w:t>
            </w:r>
          </w:p>
        </w:tc>
        <w:tc>
          <w:tcPr>
            <w:tcW w:w="4539" w:type="dxa"/>
            <w:vAlign w:val="center"/>
          </w:tcPr>
          <w:p w:rsidR="001A1775" w:rsidRPr="001A1775" w:rsidRDefault="00CC10C5" w:rsidP="002C77AE">
            <w:pPr>
              <w:contextualSpacing/>
            </w:pPr>
            <w:r>
              <w:t>Christopher, Sundar (Dean – COS)</w:t>
            </w:r>
          </w:p>
        </w:tc>
        <w:tc>
          <w:tcPr>
            <w:tcW w:w="4310" w:type="dxa"/>
            <w:vAlign w:val="center"/>
          </w:tcPr>
          <w:p w:rsidR="001A1775" w:rsidRPr="001A1775" w:rsidRDefault="001A1775" w:rsidP="002C77AE">
            <w:pPr>
              <w:contextualSpacing/>
            </w:pPr>
          </w:p>
        </w:tc>
      </w:tr>
      <w:tr w:rsidR="00CC10C5" w:rsidRPr="001A1775" w:rsidTr="002C77AE">
        <w:trPr>
          <w:trHeight w:val="432"/>
        </w:trPr>
        <w:tc>
          <w:tcPr>
            <w:tcW w:w="519" w:type="dxa"/>
            <w:vAlign w:val="center"/>
          </w:tcPr>
          <w:p w:rsidR="00CC10C5" w:rsidRPr="001A1775" w:rsidRDefault="00A87147" w:rsidP="002C77AE">
            <w:pPr>
              <w:contextualSpacing/>
            </w:pPr>
            <w:r>
              <w:t>No</w:t>
            </w:r>
          </w:p>
        </w:tc>
        <w:tc>
          <w:tcPr>
            <w:tcW w:w="4539" w:type="dxa"/>
            <w:vAlign w:val="center"/>
          </w:tcPr>
          <w:p w:rsidR="00CC10C5" w:rsidRPr="001A1775" w:rsidRDefault="008C1025" w:rsidP="002C77AE">
            <w:pPr>
              <w:contextualSpacing/>
            </w:pPr>
            <w:r>
              <w:t>Berbrier, Mitch</w:t>
            </w:r>
            <w:r w:rsidR="00CC10C5" w:rsidRPr="001A1775">
              <w:t xml:space="preserve"> (</w:t>
            </w:r>
            <w:r>
              <w:t xml:space="preserve">Interim </w:t>
            </w:r>
            <w:r w:rsidR="00CC10C5" w:rsidRPr="001A1775">
              <w:t>Dean - COLA)</w:t>
            </w:r>
          </w:p>
        </w:tc>
        <w:tc>
          <w:tcPr>
            <w:tcW w:w="4310" w:type="dxa"/>
            <w:vAlign w:val="center"/>
          </w:tcPr>
          <w:p w:rsidR="00CC10C5" w:rsidRPr="001A1775" w:rsidRDefault="00CC10C5" w:rsidP="002C77AE">
            <w:pPr>
              <w:contextualSpacing/>
            </w:pPr>
          </w:p>
        </w:tc>
      </w:tr>
      <w:tr w:rsidR="00CC10C5" w:rsidRPr="001A1775" w:rsidTr="002C77AE">
        <w:trPr>
          <w:trHeight w:val="432"/>
        </w:trPr>
        <w:tc>
          <w:tcPr>
            <w:tcW w:w="519" w:type="dxa"/>
            <w:vAlign w:val="center"/>
          </w:tcPr>
          <w:p w:rsidR="00CC10C5" w:rsidRPr="001A1775" w:rsidRDefault="00A87147" w:rsidP="002C77AE">
            <w:pPr>
              <w:contextualSpacing/>
            </w:pPr>
            <w:r>
              <w:t>Yes</w:t>
            </w:r>
          </w:p>
        </w:tc>
        <w:tc>
          <w:tcPr>
            <w:tcW w:w="4539" w:type="dxa"/>
            <w:vAlign w:val="center"/>
          </w:tcPr>
          <w:p w:rsidR="00CC10C5" w:rsidRPr="001A1775" w:rsidRDefault="00CC10C5" w:rsidP="002C77AE">
            <w:pPr>
              <w:contextualSpacing/>
            </w:pPr>
            <w:r w:rsidRPr="001A1775">
              <w:t xml:space="preserve">Finnegan, Michael (AVP – F&amp;O) </w:t>
            </w:r>
          </w:p>
        </w:tc>
        <w:tc>
          <w:tcPr>
            <w:tcW w:w="4310" w:type="dxa"/>
            <w:vAlign w:val="center"/>
          </w:tcPr>
          <w:p w:rsidR="00CC10C5" w:rsidRPr="001A1775" w:rsidRDefault="00CC10C5" w:rsidP="002C77AE">
            <w:pPr>
              <w:contextualSpacing/>
            </w:pPr>
          </w:p>
        </w:tc>
      </w:tr>
      <w:tr w:rsidR="001A1775" w:rsidRPr="001A1775" w:rsidTr="002C77AE">
        <w:trPr>
          <w:trHeight w:val="432"/>
        </w:trPr>
        <w:tc>
          <w:tcPr>
            <w:tcW w:w="519" w:type="dxa"/>
            <w:vAlign w:val="center"/>
          </w:tcPr>
          <w:p w:rsidR="001A1775" w:rsidRPr="001A1775" w:rsidRDefault="00A87147" w:rsidP="002C77AE">
            <w:pPr>
              <w:contextualSpacing/>
            </w:pPr>
            <w:r>
              <w:t>No</w:t>
            </w:r>
          </w:p>
        </w:tc>
        <w:tc>
          <w:tcPr>
            <w:tcW w:w="4539" w:type="dxa"/>
            <w:vAlign w:val="center"/>
          </w:tcPr>
          <w:p w:rsidR="001A1775" w:rsidRPr="001A1775" w:rsidRDefault="001A1775" w:rsidP="002C77AE">
            <w:pPr>
              <w:contextualSpacing/>
            </w:pPr>
            <w:r w:rsidRPr="001A1775">
              <w:t>Hyatt, Regina</w:t>
            </w:r>
            <w:r w:rsidR="00CE4AE3">
              <w:t xml:space="preserve"> (</w:t>
            </w:r>
            <w:r w:rsidRPr="001A1775">
              <w:t>Dean of Students</w:t>
            </w:r>
            <w:r w:rsidR="00CE4AE3">
              <w:t>)</w:t>
            </w:r>
          </w:p>
        </w:tc>
        <w:tc>
          <w:tcPr>
            <w:tcW w:w="4310" w:type="dxa"/>
            <w:vAlign w:val="center"/>
          </w:tcPr>
          <w:p w:rsidR="001A1775" w:rsidRPr="001A1775" w:rsidRDefault="001A1775" w:rsidP="002C77AE">
            <w:pPr>
              <w:contextualSpacing/>
            </w:pPr>
          </w:p>
        </w:tc>
      </w:tr>
      <w:tr w:rsidR="00A87147" w:rsidRPr="001A1775" w:rsidTr="002C77AE">
        <w:trPr>
          <w:trHeight w:val="432"/>
        </w:trPr>
        <w:tc>
          <w:tcPr>
            <w:tcW w:w="519" w:type="dxa"/>
            <w:vAlign w:val="center"/>
          </w:tcPr>
          <w:p w:rsidR="00A87147" w:rsidRDefault="00A87147" w:rsidP="002C77AE">
            <w:pPr>
              <w:contextualSpacing/>
            </w:pPr>
            <w:r>
              <w:t>Yes</w:t>
            </w:r>
          </w:p>
        </w:tc>
        <w:tc>
          <w:tcPr>
            <w:tcW w:w="4539" w:type="dxa"/>
            <w:vAlign w:val="center"/>
          </w:tcPr>
          <w:p w:rsidR="00A87147" w:rsidRPr="001A1775" w:rsidRDefault="00A87147" w:rsidP="002C77AE">
            <w:pPr>
              <w:contextualSpacing/>
            </w:pPr>
            <w:r>
              <w:t>Hoy, Hailey (Nursing representative)</w:t>
            </w:r>
          </w:p>
        </w:tc>
        <w:tc>
          <w:tcPr>
            <w:tcW w:w="4310" w:type="dxa"/>
            <w:vAlign w:val="center"/>
          </w:tcPr>
          <w:p w:rsidR="00A87147" w:rsidRPr="001A1775" w:rsidRDefault="00A87147" w:rsidP="002C77AE">
            <w:pPr>
              <w:contextualSpacing/>
            </w:pPr>
          </w:p>
        </w:tc>
      </w:tr>
      <w:tr w:rsidR="00A87147" w:rsidRPr="001A1775" w:rsidTr="002C77AE">
        <w:trPr>
          <w:trHeight w:val="432"/>
        </w:trPr>
        <w:tc>
          <w:tcPr>
            <w:tcW w:w="519" w:type="dxa"/>
            <w:vAlign w:val="center"/>
          </w:tcPr>
          <w:p w:rsidR="00A87147" w:rsidRPr="001A1775" w:rsidRDefault="00A87147" w:rsidP="002C77AE">
            <w:pPr>
              <w:contextualSpacing/>
            </w:pPr>
            <w:r>
              <w:t>Yes</w:t>
            </w:r>
          </w:p>
        </w:tc>
        <w:tc>
          <w:tcPr>
            <w:tcW w:w="4539" w:type="dxa"/>
            <w:vAlign w:val="center"/>
          </w:tcPr>
          <w:p w:rsidR="00A87147" w:rsidRPr="001A1775" w:rsidRDefault="00A87147" w:rsidP="002C77AE">
            <w:pPr>
              <w:contextualSpacing/>
            </w:pPr>
            <w:r>
              <w:t>Lindquist, Robert (AVP - Research) Chairperson</w:t>
            </w:r>
          </w:p>
        </w:tc>
        <w:tc>
          <w:tcPr>
            <w:tcW w:w="4310" w:type="dxa"/>
            <w:vAlign w:val="center"/>
          </w:tcPr>
          <w:p w:rsidR="00A87147" w:rsidRPr="001A1775" w:rsidRDefault="00A87147" w:rsidP="002C77AE">
            <w:pPr>
              <w:contextualSpacing/>
            </w:pPr>
          </w:p>
        </w:tc>
      </w:tr>
      <w:tr w:rsidR="00A87147" w:rsidRPr="001A1775" w:rsidTr="002C77AE">
        <w:trPr>
          <w:trHeight w:val="432"/>
        </w:trPr>
        <w:tc>
          <w:tcPr>
            <w:tcW w:w="519" w:type="dxa"/>
            <w:vAlign w:val="center"/>
          </w:tcPr>
          <w:p w:rsidR="00A87147" w:rsidRPr="001A1775" w:rsidRDefault="00A87147" w:rsidP="002C77AE">
            <w:pPr>
              <w:contextualSpacing/>
            </w:pPr>
            <w:r>
              <w:t>No</w:t>
            </w:r>
          </w:p>
        </w:tc>
        <w:tc>
          <w:tcPr>
            <w:tcW w:w="4539" w:type="dxa"/>
            <w:vAlign w:val="center"/>
          </w:tcPr>
          <w:p w:rsidR="00A87147" w:rsidRPr="001A1775" w:rsidRDefault="00F33D97" w:rsidP="002C77AE">
            <w:pPr>
              <w:contextualSpacing/>
            </w:pPr>
            <w:r w:rsidRPr="001A1775">
              <w:t>Mahalingam</w:t>
            </w:r>
            <w:r w:rsidR="00A87147" w:rsidRPr="001A1775">
              <w:t>, Shankar (Dean - COE)</w:t>
            </w:r>
          </w:p>
        </w:tc>
        <w:tc>
          <w:tcPr>
            <w:tcW w:w="4310" w:type="dxa"/>
            <w:vAlign w:val="center"/>
          </w:tcPr>
          <w:p w:rsidR="00A87147" w:rsidRPr="001A1775" w:rsidRDefault="00A87147" w:rsidP="002C77AE">
            <w:pPr>
              <w:contextualSpacing/>
            </w:pPr>
          </w:p>
        </w:tc>
      </w:tr>
      <w:tr w:rsidR="00A87147" w:rsidRPr="001A1775" w:rsidTr="002C77AE">
        <w:trPr>
          <w:trHeight w:val="432"/>
        </w:trPr>
        <w:tc>
          <w:tcPr>
            <w:tcW w:w="519" w:type="dxa"/>
            <w:vAlign w:val="center"/>
          </w:tcPr>
          <w:p w:rsidR="00A87147" w:rsidRPr="001A1775" w:rsidRDefault="00A87147" w:rsidP="002C77AE">
            <w:pPr>
              <w:contextualSpacing/>
            </w:pPr>
            <w:r>
              <w:t>Yes</w:t>
            </w:r>
          </w:p>
        </w:tc>
        <w:tc>
          <w:tcPr>
            <w:tcW w:w="4539" w:type="dxa"/>
            <w:vAlign w:val="center"/>
          </w:tcPr>
          <w:p w:rsidR="00A87147" w:rsidRPr="001A1775" w:rsidRDefault="00A87147" w:rsidP="002C77AE">
            <w:pPr>
              <w:contextualSpacing/>
            </w:pPr>
            <w:r w:rsidRPr="001A1775">
              <w:t xml:space="preserve">Pendleton, Marcia – Ex- Officio (OEHS) </w:t>
            </w:r>
          </w:p>
        </w:tc>
        <w:tc>
          <w:tcPr>
            <w:tcW w:w="4310" w:type="dxa"/>
            <w:vAlign w:val="center"/>
          </w:tcPr>
          <w:p w:rsidR="00A87147" w:rsidRPr="001A1775" w:rsidRDefault="00A87147" w:rsidP="002C77AE">
            <w:pPr>
              <w:contextualSpacing/>
            </w:pPr>
          </w:p>
        </w:tc>
      </w:tr>
    </w:tbl>
    <w:p w:rsidR="001A1775" w:rsidRDefault="00B97BFB" w:rsidP="001A1775">
      <w:pPr>
        <w:pStyle w:val="ListParagraph"/>
        <w:numPr>
          <w:ilvl w:val="0"/>
          <w:numId w:val="5"/>
        </w:numPr>
        <w:spacing w:line="240" w:lineRule="auto"/>
      </w:pPr>
      <w:r w:rsidRPr="001A1775">
        <w:t>Roll Call</w:t>
      </w:r>
      <w:r w:rsidR="004070A4" w:rsidRPr="001A1775">
        <w:br/>
      </w:r>
    </w:p>
    <w:p w:rsidR="00B97BFB" w:rsidRPr="001A1775" w:rsidRDefault="00B97BFB" w:rsidP="00036279">
      <w:pPr>
        <w:pStyle w:val="ListParagraph"/>
        <w:numPr>
          <w:ilvl w:val="0"/>
          <w:numId w:val="5"/>
        </w:numPr>
        <w:spacing w:after="0" w:line="240" w:lineRule="auto"/>
      </w:pPr>
      <w:r w:rsidRPr="001A1775">
        <w:t>Approval of Minutes</w:t>
      </w:r>
      <w:r w:rsidR="00D13A4D" w:rsidRPr="001A1775">
        <w:t xml:space="preserve"> </w:t>
      </w:r>
    </w:p>
    <w:p w:rsidR="00036279" w:rsidRDefault="00036279" w:rsidP="00036279">
      <w:pPr>
        <w:spacing w:after="0" w:line="240" w:lineRule="auto"/>
        <w:ind w:left="1080"/>
      </w:pPr>
      <w:r>
        <w:t>Motion to approve:  Mike Finnegan</w:t>
      </w:r>
      <w:r w:rsidRPr="00455D80">
        <w:t xml:space="preserve"> </w:t>
      </w:r>
    </w:p>
    <w:p w:rsidR="00036279" w:rsidRDefault="00036279" w:rsidP="00036279">
      <w:pPr>
        <w:spacing w:after="0" w:line="240" w:lineRule="auto"/>
        <w:ind w:left="1080"/>
      </w:pPr>
      <w:r>
        <w:t>Second to motion:  John Cates</w:t>
      </w:r>
    </w:p>
    <w:p w:rsidR="00A87147" w:rsidRDefault="00A87147" w:rsidP="00036279">
      <w:pPr>
        <w:spacing w:after="0" w:line="240" w:lineRule="auto"/>
        <w:ind w:left="360"/>
      </w:pPr>
    </w:p>
    <w:p w:rsidR="009071AC" w:rsidRDefault="006B1EA0" w:rsidP="00036279">
      <w:pPr>
        <w:pStyle w:val="ListParagraph"/>
        <w:numPr>
          <w:ilvl w:val="0"/>
          <w:numId w:val="5"/>
        </w:numPr>
        <w:spacing w:after="0" w:line="240" w:lineRule="auto"/>
      </w:pPr>
      <w:r w:rsidRPr="001A1775">
        <w:t>Unfinished</w:t>
      </w:r>
      <w:r w:rsidR="00D84DE9" w:rsidRPr="001A1775">
        <w:t xml:space="preserve"> Business</w:t>
      </w:r>
      <w:r w:rsidR="00DA7032">
        <w:t xml:space="preserve"> </w:t>
      </w:r>
    </w:p>
    <w:p w:rsidR="00474F5B" w:rsidRDefault="0057382C" w:rsidP="00036279">
      <w:pPr>
        <w:pStyle w:val="ListParagraph"/>
        <w:numPr>
          <w:ilvl w:val="1"/>
          <w:numId w:val="5"/>
        </w:numPr>
        <w:spacing w:after="0" w:line="240" w:lineRule="auto"/>
      </w:pPr>
      <w:r>
        <w:t>Notification and activation of Laboratory Safety Committee</w:t>
      </w:r>
    </w:p>
    <w:p w:rsidR="00C917D7" w:rsidRDefault="002A345F" w:rsidP="002A345F">
      <w:pPr>
        <w:spacing w:after="0" w:line="240" w:lineRule="auto"/>
        <w:ind w:left="1440"/>
      </w:pPr>
      <w:r>
        <w:t>John Schriver has been identified as the lead; Lindquist will be contacting the supervisors of those who are to be on the committee.  Hopefully they will have their first meeting prior to our meeting next quarter</w:t>
      </w:r>
    </w:p>
    <w:p w:rsidR="00C917D7" w:rsidRDefault="00C917D7" w:rsidP="00036279">
      <w:pPr>
        <w:spacing w:after="0" w:line="240" w:lineRule="auto"/>
        <w:ind w:left="360"/>
      </w:pPr>
    </w:p>
    <w:p w:rsidR="00DA7032" w:rsidRDefault="00D13A4D" w:rsidP="00036279">
      <w:pPr>
        <w:pStyle w:val="ListParagraph"/>
        <w:numPr>
          <w:ilvl w:val="0"/>
          <w:numId w:val="5"/>
        </w:numPr>
        <w:spacing w:after="0" w:line="240" w:lineRule="auto"/>
      </w:pPr>
      <w:r w:rsidRPr="001A1775">
        <w:t>New Business</w:t>
      </w:r>
    </w:p>
    <w:p w:rsidR="001778C9" w:rsidRDefault="001778C9" w:rsidP="00036279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Funding laboratory safety items such as first aid kits, spill kits, chemical waste collection containers. </w:t>
      </w:r>
    </w:p>
    <w:p w:rsidR="00C917D7" w:rsidRDefault="002A345F" w:rsidP="00C64942">
      <w:pPr>
        <w:spacing w:after="0" w:line="240" w:lineRule="auto"/>
        <w:ind w:left="1440"/>
      </w:pPr>
      <w:r>
        <w:t xml:space="preserve">Pendleton – When audits are done, non-compliance (at risks) are issued for </w:t>
      </w:r>
      <w:r w:rsidR="00F33D97">
        <w:t>missing</w:t>
      </w:r>
      <w:r w:rsidR="007824C2">
        <w:t xml:space="preserve"> spill kits, etc.  People ask w</w:t>
      </w:r>
      <w:r>
        <w:t>hy OEHS isn’t paying for these items.  The response is that they should come out of the department’s funds.</w:t>
      </w:r>
    </w:p>
    <w:p w:rsidR="002A345F" w:rsidRDefault="002A345F" w:rsidP="00C64942">
      <w:pPr>
        <w:spacing w:after="0" w:line="240" w:lineRule="auto"/>
        <w:ind w:left="1440"/>
      </w:pPr>
      <w:r>
        <w:t xml:space="preserve">Lindquist – Waste removal is covered by OEHS – that stops when the items </w:t>
      </w:r>
      <w:r w:rsidR="007824C2">
        <w:t>are not managed appropriately</w:t>
      </w:r>
      <w:r>
        <w:t>, in the wrong container,</w:t>
      </w:r>
      <w:r w:rsidR="007824C2">
        <w:t xml:space="preserve"> or peroxide formers over time, </w:t>
      </w:r>
      <w:r>
        <w:t xml:space="preserve"> etc.  Then it becomes the </w:t>
      </w:r>
      <w:r w:rsidR="00F33D97">
        <w:t>department’s</w:t>
      </w:r>
      <w:r>
        <w:t xml:space="preserve"> </w:t>
      </w:r>
      <w:r w:rsidR="00F33D97">
        <w:t>responsibility</w:t>
      </w:r>
      <w:r>
        <w:t xml:space="preserve">.  There is a recent case where the issue was </w:t>
      </w:r>
      <w:r w:rsidR="00F33D97">
        <w:t>inherited</w:t>
      </w:r>
      <w:r>
        <w:t xml:space="preserve"> from the previous person in char</w:t>
      </w:r>
      <w:r w:rsidR="007824C2">
        <w:t>ge and OVPRED paid for it</w:t>
      </w:r>
      <w:r>
        <w:t>.</w:t>
      </w:r>
    </w:p>
    <w:p w:rsidR="002A345F" w:rsidRDefault="002A345F" w:rsidP="00C64942">
      <w:pPr>
        <w:spacing w:after="0" w:line="240" w:lineRule="auto"/>
        <w:ind w:left="1440"/>
      </w:pPr>
      <w:r>
        <w:t xml:space="preserve"> Where do we draw the line?</w:t>
      </w:r>
    </w:p>
    <w:p w:rsidR="00B12527" w:rsidRDefault="002A345F" w:rsidP="00C64942">
      <w:pPr>
        <w:spacing w:after="0" w:line="240" w:lineRule="auto"/>
        <w:ind w:left="1440"/>
      </w:pPr>
      <w:r>
        <w:t xml:space="preserve">Christopher – Does </w:t>
      </w:r>
      <w:r w:rsidR="00B12527">
        <w:t xml:space="preserve">OEHS have a sense of what is needed in each lab?  </w:t>
      </w:r>
    </w:p>
    <w:p w:rsidR="002A345F" w:rsidRDefault="00B12527" w:rsidP="00C64942">
      <w:pPr>
        <w:spacing w:after="0" w:line="240" w:lineRule="auto"/>
        <w:ind w:left="1440"/>
      </w:pPr>
      <w:r>
        <w:t xml:space="preserve">Pendleton – Yes, </w:t>
      </w:r>
      <w:r w:rsidR="007824C2">
        <w:t xml:space="preserve">needs are identified </w:t>
      </w:r>
      <w:r>
        <w:t xml:space="preserve">during the </w:t>
      </w:r>
      <w:r w:rsidR="007824C2">
        <w:t xml:space="preserve">annual </w:t>
      </w:r>
      <w:r>
        <w:t>audit.</w:t>
      </w:r>
    </w:p>
    <w:p w:rsidR="00B12527" w:rsidRDefault="00B12527" w:rsidP="00C64942">
      <w:pPr>
        <w:spacing w:after="0" w:line="240" w:lineRule="auto"/>
        <w:ind w:left="1440"/>
      </w:pPr>
      <w:r>
        <w:t>Lindquist – Funds can’t come from research dollars; they have to come out of F&amp;A.  The items/cost can’t be written in a proposal unless it’s a specific/unique item that is needed for that particular proposal.</w:t>
      </w:r>
    </w:p>
    <w:p w:rsidR="00B12527" w:rsidRDefault="00B12527" w:rsidP="00C64942">
      <w:pPr>
        <w:spacing w:after="0" w:line="240" w:lineRule="auto"/>
        <w:ind w:left="1440"/>
      </w:pPr>
      <w:r>
        <w:t xml:space="preserve">Christopher – Who pays for fire extinguishers?  </w:t>
      </w:r>
    </w:p>
    <w:p w:rsidR="00B12527" w:rsidRDefault="00B12527" w:rsidP="00C64942">
      <w:pPr>
        <w:spacing w:after="0" w:line="240" w:lineRule="auto"/>
        <w:ind w:left="1440"/>
      </w:pPr>
      <w:r>
        <w:lastRenderedPageBreak/>
        <w:t xml:space="preserve">Pendleton – The University pays </w:t>
      </w:r>
      <w:r w:rsidR="00F33D97">
        <w:t>when a</w:t>
      </w:r>
      <w:r>
        <w:t xml:space="preserve"> new building is erected.  If </w:t>
      </w:r>
      <w:r w:rsidR="007824C2">
        <w:t>a speciality item is need</w:t>
      </w:r>
      <w:r w:rsidR="00442327">
        <w:t>ed</w:t>
      </w:r>
      <w:r w:rsidR="007824C2">
        <w:t xml:space="preserve"> due to the use of the space, e.g.,  </w:t>
      </w:r>
      <w:r>
        <w:t xml:space="preserve">C02 is needed instead of a standard ABC extinguisher, the </w:t>
      </w:r>
      <w:r w:rsidR="007824C2">
        <w:t xml:space="preserve">user </w:t>
      </w:r>
      <w:r>
        <w:t>must pay.</w:t>
      </w:r>
    </w:p>
    <w:p w:rsidR="00B12527" w:rsidRDefault="00B12527" w:rsidP="00C64942">
      <w:pPr>
        <w:spacing w:after="0" w:line="240" w:lineRule="auto"/>
        <w:ind w:left="1440"/>
      </w:pPr>
      <w:r>
        <w:t>- Is the University buying spill kits, etc., in bulk to leverage our buying power?</w:t>
      </w:r>
    </w:p>
    <w:p w:rsidR="00B12527" w:rsidRDefault="00B12527" w:rsidP="00C64942">
      <w:pPr>
        <w:spacing w:after="0" w:line="240" w:lineRule="auto"/>
        <w:ind w:left="1440"/>
      </w:pPr>
      <w:r>
        <w:t xml:space="preserve">Pendleton – </w:t>
      </w:r>
      <w:r w:rsidR="007824C2">
        <w:t>The OEHS is not funded for these items</w:t>
      </w:r>
      <w:r>
        <w:t>.</w:t>
      </w:r>
    </w:p>
    <w:p w:rsidR="00CE3642" w:rsidRDefault="00CE3642" w:rsidP="00C64942">
      <w:pPr>
        <w:spacing w:after="0" w:line="240" w:lineRule="auto"/>
        <w:ind w:left="1440"/>
      </w:pPr>
      <w:r>
        <w:t>Finnegan – The Lab Safety Committee should address this issue</w:t>
      </w:r>
      <w:r w:rsidR="007824C2">
        <w:t xml:space="preserve"> and make appropriate recommendations</w:t>
      </w:r>
      <w:r w:rsidR="00B2323B">
        <w:t xml:space="preserve">. </w:t>
      </w:r>
    </w:p>
    <w:p w:rsidR="00CE3642" w:rsidRDefault="00F33D97" w:rsidP="00C64942">
      <w:pPr>
        <w:spacing w:after="0" w:line="240" w:lineRule="auto"/>
        <w:ind w:left="1440"/>
      </w:pPr>
      <w:r>
        <w:t>Lindquist</w:t>
      </w:r>
      <w:r w:rsidR="00CE3642">
        <w:t xml:space="preserve"> – Lab fees used to help cover these things in teaching labs.  </w:t>
      </w:r>
    </w:p>
    <w:p w:rsidR="00BB2D56" w:rsidRDefault="00BB2D56" w:rsidP="00C64942">
      <w:pPr>
        <w:spacing w:after="0" w:line="240" w:lineRule="auto"/>
        <w:ind w:left="1440"/>
      </w:pPr>
      <w:r w:rsidRPr="00713551">
        <w:rPr>
          <w:u w:val="single"/>
        </w:rPr>
        <w:t>ACTION ITEM:</w:t>
      </w:r>
      <w:r>
        <w:t xml:space="preserve">  Notify Lab Safety Committee that they are to address the issue:  “What type of equipment is expected in every lab?  (Vote taken – all present in agreement that this task should be forwarded to the Lab Safety Committee.)  Also, this should be the first item that the Lab Safety Committee should address.</w:t>
      </w:r>
    </w:p>
    <w:p w:rsidR="002A345F" w:rsidRDefault="00BB2D56" w:rsidP="00C64942">
      <w:pPr>
        <w:spacing w:after="0" w:line="240" w:lineRule="auto"/>
        <w:ind w:left="1440"/>
      </w:pPr>
      <w:r>
        <w:t xml:space="preserve">Finnegan – A first aid kit may be in the room, but just not </w:t>
      </w:r>
      <w:r w:rsidR="00F33D97">
        <w:t>visible</w:t>
      </w:r>
      <w:r>
        <w:t xml:space="preserve"> when the audit is done.  Someone from the ‘department’ should be </w:t>
      </w:r>
      <w:r w:rsidR="00C64942">
        <w:t>present during the audit to answer any questions.</w:t>
      </w:r>
    </w:p>
    <w:p w:rsidR="002A345F" w:rsidRDefault="002A345F" w:rsidP="00036279">
      <w:pPr>
        <w:spacing w:after="0" w:line="240" w:lineRule="auto"/>
        <w:ind w:left="360"/>
      </w:pPr>
    </w:p>
    <w:p w:rsidR="00176149" w:rsidRDefault="00176149" w:rsidP="00036279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Periodic flushing safety showers and eyewashes. </w:t>
      </w:r>
    </w:p>
    <w:p w:rsidR="008C6239" w:rsidRDefault="008C6239" w:rsidP="00C64942">
      <w:pPr>
        <w:spacing w:after="0" w:line="240" w:lineRule="auto"/>
        <w:ind w:left="1440"/>
      </w:pPr>
      <w:r>
        <w:t xml:space="preserve"> - </w:t>
      </w:r>
      <w:r w:rsidR="00C64942">
        <w:t xml:space="preserve">The eye wash stations should be flushed once a week; the showers once a month.  Calcium, rust, etc., deposits build up and then the stations won’t work.  A Graduate student or Teachers’ Assistant should do this.  </w:t>
      </w:r>
    </w:p>
    <w:p w:rsidR="008C6239" w:rsidRDefault="008C6239" w:rsidP="00C64942">
      <w:pPr>
        <w:spacing w:after="0" w:line="240" w:lineRule="auto"/>
        <w:ind w:left="1440"/>
      </w:pPr>
      <w:r>
        <w:t xml:space="preserve"> - </w:t>
      </w:r>
      <w:r w:rsidR="00C64942">
        <w:t xml:space="preserve">OEHS </w:t>
      </w:r>
      <w:r w:rsidR="00B2323B">
        <w:t xml:space="preserve">has historically </w:t>
      </w:r>
      <w:r w:rsidR="00C64942">
        <w:t>check</w:t>
      </w:r>
      <w:r w:rsidR="00B2323B">
        <w:t>ed</w:t>
      </w:r>
      <w:r w:rsidR="00C64942">
        <w:t xml:space="preserve"> the </w:t>
      </w:r>
      <w:r w:rsidR="00B2323B">
        <w:t xml:space="preserve">function at the </w:t>
      </w:r>
      <w:r w:rsidR="00C64942">
        <w:t xml:space="preserve">stations </w:t>
      </w:r>
      <w:r w:rsidR="00B2323B">
        <w:t>twi</w:t>
      </w:r>
      <w:r w:rsidR="00C64942">
        <w:t xml:space="preserve">ce </w:t>
      </w:r>
      <w:r w:rsidR="00B2323B">
        <w:t>per</w:t>
      </w:r>
      <w:r w:rsidR="00C64942">
        <w:t xml:space="preserve"> year.   </w:t>
      </w:r>
      <w:r w:rsidR="00B2323B">
        <w:t xml:space="preserve">  </w:t>
      </w:r>
      <w:r w:rsidR="00C64942">
        <w:t xml:space="preserve">Work orders </w:t>
      </w:r>
      <w:r w:rsidR="00B2323B">
        <w:t>are issued to repair the items but the only way to keep them out of a constant state of repair is to flush them weekly and monthly</w:t>
      </w:r>
      <w:r>
        <w:t xml:space="preserve">.  The second, and more important, reason to </w:t>
      </w:r>
      <w:r w:rsidR="00B2323B">
        <w:t xml:space="preserve">have lab users </w:t>
      </w:r>
      <w:r>
        <w:t xml:space="preserve">check them is to make people aware of where they are and how to operate them.   </w:t>
      </w:r>
      <w:r w:rsidR="00B2323B">
        <w:t xml:space="preserve">OEHS is discontinuing checking the function of the eyewash stations and safety showers.  </w:t>
      </w:r>
    </w:p>
    <w:p w:rsidR="008C6239" w:rsidRDefault="008C6239" w:rsidP="00C64942">
      <w:pPr>
        <w:spacing w:after="0" w:line="240" w:lineRule="auto"/>
        <w:ind w:left="1440"/>
      </w:pPr>
      <w:r>
        <w:t xml:space="preserve"> - OEHS has </w:t>
      </w:r>
      <w:r w:rsidR="00B2323B">
        <w:t xml:space="preserve">tagged </w:t>
      </w:r>
      <w:r>
        <w:t>each one</w:t>
      </w:r>
      <w:r w:rsidR="00B2323B">
        <w:t xml:space="preserve"> so users can initial and date each check</w:t>
      </w:r>
      <w:r>
        <w:t xml:space="preserve">. </w:t>
      </w:r>
      <w:r w:rsidR="00B2323B">
        <w:t xml:space="preserve"> A wheeled trash can is necessary to catch the water for those without drains.</w:t>
      </w:r>
      <w:r>
        <w:t xml:space="preserve"> </w:t>
      </w:r>
    </w:p>
    <w:p w:rsidR="008C6239" w:rsidRDefault="008C6239" w:rsidP="00C64942">
      <w:pPr>
        <w:spacing w:after="0" w:line="240" w:lineRule="auto"/>
        <w:ind w:left="1440"/>
      </w:pPr>
      <w:r>
        <w:t xml:space="preserve"> - </w:t>
      </w:r>
      <w:r w:rsidR="00B2323B">
        <w:t>Drains are not installed because use of the safety shower due to an exposure would result in a release to the environment of a potentially toxic substance</w:t>
      </w:r>
      <w:r>
        <w:t>.</w:t>
      </w:r>
    </w:p>
    <w:p w:rsidR="00F35817" w:rsidRDefault="008C6239" w:rsidP="00C64942">
      <w:pPr>
        <w:spacing w:after="0" w:line="240" w:lineRule="auto"/>
        <w:ind w:left="1440"/>
      </w:pPr>
      <w:r>
        <w:t xml:space="preserve"> </w:t>
      </w:r>
      <w:r w:rsidR="00F35817">
        <w:t xml:space="preserve"> - Some labs aren’t used </w:t>
      </w:r>
      <w:r w:rsidR="00F33D97">
        <w:t>frequently</w:t>
      </w:r>
      <w:r w:rsidR="00F35817">
        <w:t>. People hold on to a lab even if they aren’t using it</w:t>
      </w:r>
    </w:p>
    <w:p w:rsidR="00F35817" w:rsidRDefault="00F35817" w:rsidP="00C64942">
      <w:pPr>
        <w:spacing w:after="0" w:line="240" w:lineRule="auto"/>
        <w:ind w:left="1440"/>
      </w:pPr>
      <w:r>
        <w:t>Finnegan – If you claim it, maintain it.  If a lab is no longer being used, Facilities has to rework it for the next person/group to use it.</w:t>
      </w:r>
    </w:p>
    <w:p w:rsidR="005E4906" w:rsidRDefault="005E4906" w:rsidP="005E4906">
      <w:pPr>
        <w:spacing w:after="0" w:line="240" w:lineRule="auto"/>
        <w:ind w:left="1440"/>
      </w:pPr>
      <w:r>
        <w:t>- Labs are being ranked from high to low risk.  Low risk labs will not require weekly/monthly safety shower and eyewash flushes.</w:t>
      </w:r>
    </w:p>
    <w:p w:rsidR="00F35817" w:rsidRDefault="00F35817" w:rsidP="00C64942">
      <w:pPr>
        <w:spacing w:after="0" w:line="240" w:lineRule="auto"/>
        <w:ind w:left="1440"/>
      </w:pPr>
      <w:r>
        <w:t>Christopher – We are cleaning up and discarding items in our area</w:t>
      </w:r>
      <w:r w:rsidR="005E4906">
        <w:t>s in MSB</w:t>
      </w:r>
      <w:r>
        <w:t>.</w:t>
      </w:r>
    </w:p>
    <w:p w:rsidR="00F35817" w:rsidRDefault="00F35817" w:rsidP="00C64942">
      <w:pPr>
        <w:spacing w:after="0" w:line="240" w:lineRule="auto"/>
        <w:ind w:left="1440"/>
      </w:pPr>
      <w:r>
        <w:t xml:space="preserve">- Employee check out procedure – OEHS was not being notified when a person was departing UAH.  That procedure is </w:t>
      </w:r>
      <w:r w:rsidR="005E4906">
        <w:t>being followed more closely n</w:t>
      </w:r>
      <w:r>
        <w:t>ow.</w:t>
      </w:r>
    </w:p>
    <w:p w:rsidR="00F35817" w:rsidRDefault="00F35817" w:rsidP="00C64942">
      <w:pPr>
        <w:spacing w:after="0" w:line="240" w:lineRule="auto"/>
        <w:ind w:left="1440"/>
      </w:pPr>
      <w:r>
        <w:t>Cates – How many times have we had to use the showers or eye wash?  Is there a number?</w:t>
      </w:r>
    </w:p>
    <w:p w:rsidR="00F35817" w:rsidRDefault="00F35817" w:rsidP="00C64942">
      <w:pPr>
        <w:spacing w:after="0" w:line="240" w:lineRule="auto"/>
        <w:ind w:left="1440"/>
      </w:pPr>
      <w:r>
        <w:t xml:space="preserve">Pendleton:  Showers – </w:t>
      </w:r>
      <w:r w:rsidR="005E4906">
        <w:t xml:space="preserve">Only reported </w:t>
      </w:r>
      <w:r>
        <w:t>once in 18 years.</w:t>
      </w:r>
    </w:p>
    <w:p w:rsidR="00F35817" w:rsidRDefault="00F35817" w:rsidP="00C64942">
      <w:pPr>
        <w:spacing w:after="0" w:line="240" w:lineRule="auto"/>
        <w:ind w:left="1440"/>
      </w:pPr>
      <w:r>
        <w:t>Cates:   OSHA doesn’t cover us</w:t>
      </w:r>
      <w:r w:rsidR="005E4906">
        <w:t>.  This</w:t>
      </w:r>
      <w:r>
        <w:t xml:space="preserve"> frequency of </w:t>
      </w:r>
      <w:r w:rsidR="00F33D97">
        <w:t>occurrence</w:t>
      </w:r>
      <w:r>
        <w:t xml:space="preserve"> </w:t>
      </w:r>
      <w:r w:rsidR="005E4906">
        <w:t>is minimal.</w:t>
      </w:r>
    </w:p>
    <w:p w:rsidR="00F35817" w:rsidRDefault="00F33D97" w:rsidP="00C64942">
      <w:pPr>
        <w:spacing w:after="0" w:line="240" w:lineRule="auto"/>
        <w:ind w:left="1440"/>
      </w:pPr>
      <w:r>
        <w:t>Pendleton</w:t>
      </w:r>
      <w:r w:rsidR="00F35817">
        <w:t xml:space="preserve">.  We are training students what to expect in the workplace.  </w:t>
      </w:r>
      <w:r w:rsidR="005E4906">
        <w:t xml:space="preserve"> R</w:t>
      </w:r>
      <w:r w:rsidR="00F35817">
        <w:t xml:space="preserve">isk </w:t>
      </w:r>
      <w:r w:rsidR="005E4906">
        <w:t>a</w:t>
      </w:r>
      <w:r w:rsidR="00F35817">
        <w:t xml:space="preserve">ssessment – what </w:t>
      </w:r>
      <w:r>
        <w:t>happens</w:t>
      </w:r>
      <w:r w:rsidR="00F35817">
        <w:t xml:space="preserve"> if we don’t have the safety equipment?</w:t>
      </w:r>
      <w:r w:rsidR="005E4906">
        <w:t xml:space="preserve"> A severe injury or loss of life could result.</w:t>
      </w:r>
    </w:p>
    <w:p w:rsidR="00174320" w:rsidRDefault="00174320" w:rsidP="00C64942">
      <w:pPr>
        <w:spacing w:after="0" w:line="240" w:lineRule="auto"/>
        <w:ind w:left="1440"/>
      </w:pPr>
      <w:r>
        <w:t xml:space="preserve"> - periodic flushing of the eye wash and shower stations saves UAH money.</w:t>
      </w:r>
    </w:p>
    <w:p w:rsidR="00F35817" w:rsidRDefault="008C6239" w:rsidP="00F35817">
      <w:pPr>
        <w:spacing w:after="0" w:line="240" w:lineRule="auto"/>
        <w:ind w:left="1440"/>
      </w:pPr>
      <w:r w:rsidRPr="00713551">
        <w:rPr>
          <w:u w:val="single"/>
        </w:rPr>
        <w:t>ACTION ITEM</w:t>
      </w:r>
      <w:r>
        <w:t xml:space="preserve">:  Notify Lab Safety Committee that they are to address the issue:   Ensure the eye wash stations and the showers are flushed out according to regulations.  </w:t>
      </w:r>
    </w:p>
    <w:p w:rsidR="00F35817" w:rsidRDefault="00F35817" w:rsidP="00F35817">
      <w:pPr>
        <w:spacing w:after="0" w:line="240" w:lineRule="auto"/>
        <w:ind w:left="1440"/>
      </w:pPr>
      <w:r w:rsidRPr="00713551">
        <w:rPr>
          <w:u w:val="single"/>
        </w:rPr>
        <w:t>DISCUSSION AT NEXT MEETING:</w:t>
      </w:r>
      <w:r>
        <w:t xml:space="preserve">  Failure to maintain a lab is a cause to lose the lab and reallocate the space.</w:t>
      </w:r>
    </w:p>
    <w:p w:rsidR="008C6239" w:rsidRDefault="00F33D97" w:rsidP="00C64942">
      <w:pPr>
        <w:spacing w:after="0" w:line="240" w:lineRule="auto"/>
        <w:ind w:left="1440"/>
      </w:pPr>
      <w:r>
        <w:t>- First aid kits in every lab vs. kits on every floor</w:t>
      </w:r>
    </w:p>
    <w:p w:rsidR="008C6239" w:rsidRDefault="008C6239" w:rsidP="00C64942">
      <w:pPr>
        <w:spacing w:after="0" w:line="240" w:lineRule="auto"/>
        <w:ind w:left="1440"/>
      </w:pPr>
    </w:p>
    <w:p w:rsidR="00176149" w:rsidRDefault="00034B2F" w:rsidP="00036279">
      <w:pPr>
        <w:pStyle w:val="ListParagraph"/>
        <w:numPr>
          <w:ilvl w:val="1"/>
          <w:numId w:val="5"/>
        </w:numPr>
        <w:spacing w:after="0" w:line="240" w:lineRule="auto"/>
      </w:pPr>
      <w:r>
        <w:t>Laboratory safety incentives.</w:t>
      </w:r>
    </w:p>
    <w:p w:rsidR="00C917D7" w:rsidRDefault="007824C2" w:rsidP="005102F1">
      <w:pPr>
        <w:spacing w:after="0" w:line="240" w:lineRule="auto"/>
        <w:ind w:left="1440"/>
      </w:pPr>
      <w:r>
        <w:t xml:space="preserve">Pendleton:  For discussion </w:t>
      </w:r>
      <w:r w:rsidRPr="00442327">
        <w:t>– We would like to provide a safety award through the EHS Committee</w:t>
      </w:r>
      <w:r w:rsidR="005102F1" w:rsidRPr="00442327">
        <w:t xml:space="preserve">.  </w:t>
      </w:r>
      <w:r w:rsidRPr="00442327">
        <w:t xml:space="preserve"> </w:t>
      </w:r>
      <w:r w:rsidR="005102F1" w:rsidRPr="00442327">
        <w:t xml:space="preserve">This will be awarded </w:t>
      </w:r>
      <w:r w:rsidR="005E4906" w:rsidRPr="00442327">
        <w:t xml:space="preserve">to either an individual lab or department, research center </w:t>
      </w:r>
      <w:r w:rsidR="005102F1" w:rsidRPr="00442327">
        <w:t xml:space="preserve">based on lab audit reports and other factors.  </w:t>
      </w:r>
      <w:r w:rsidRPr="00442327">
        <w:t xml:space="preserve">Recommend </w:t>
      </w:r>
      <w:r w:rsidR="005102F1" w:rsidRPr="00442327">
        <w:t xml:space="preserve"> $500 </w:t>
      </w:r>
      <w:r w:rsidR="00442327">
        <w:t xml:space="preserve">award </w:t>
      </w:r>
      <w:r w:rsidRPr="00442327">
        <w:t>for use on safety equipment or training,</w:t>
      </w:r>
      <w:r w:rsidR="005102F1" w:rsidRPr="00442327">
        <w:t xml:space="preserve"> lab equipment</w:t>
      </w:r>
      <w:r w:rsidR="005102F1">
        <w:t>, etc.</w:t>
      </w:r>
    </w:p>
    <w:p w:rsidR="005102F1" w:rsidRDefault="005102F1" w:rsidP="005102F1">
      <w:pPr>
        <w:spacing w:after="0" w:line="240" w:lineRule="auto"/>
        <w:ind w:left="1440"/>
      </w:pPr>
      <w:r>
        <w:t>- Lab safety is good to reinforce.  What Christopher is doing (cleaning out labs) is a good idea.  Lab safety incentives annually – make an award, give it on Honors Day.</w:t>
      </w:r>
    </w:p>
    <w:p w:rsidR="005102F1" w:rsidRDefault="00F33D97" w:rsidP="005102F1">
      <w:pPr>
        <w:spacing w:after="0" w:line="240" w:lineRule="auto"/>
        <w:ind w:left="1440"/>
      </w:pPr>
      <w:r>
        <w:t>Pendleton</w:t>
      </w:r>
      <w:r w:rsidR="005102F1">
        <w:t xml:space="preserve"> – We use a ranking system</w:t>
      </w:r>
      <w:r w:rsidR="005E4906">
        <w:t xml:space="preserve"> for each item on the lab inspection</w:t>
      </w:r>
      <w:r w:rsidR="005102F1">
        <w:t xml:space="preserve">;  we </w:t>
      </w:r>
      <w:r w:rsidR="005E4906">
        <w:t>c</w:t>
      </w:r>
      <w:r w:rsidR="005102F1">
        <w:t>ould</w:t>
      </w:r>
      <w:r w:rsidR="005E4906">
        <w:t xml:space="preserve"> also</w:t>
      </w:r>
      <w:r w:rsidR="005102F1">
        <w:t xml:space="preserve"> focus on one </w:t>
      </w:r>
      <w:r w:rsidR="005E4906">
        <w:t xml:space="preserve">additional safety item </w:t>
      </w:r>
      <w:r w:rsidR="005102F1">
        <w:t>each year such as training taken by the group, standard operating procedures, eyewash/shower flushing.  We want things to be safe and we want the students to be safe.</w:t>
      </w:r>
    </w:p>
    <w:p w:rsidR="005102F1" w:rsidRDefault="005102F1" w:rsidP="005102F1">
      <w:pPr>
        <w:spacing w:after="0" w:line="240" w:lineRule="auto"/>
        <w:ind w:left="1440"/>
      </w:pPr>
      <w:r>
        <w:t>Lindquist – We want to keep safety in their minds at all times.  A competition?  Pictures of safety practices?  Push for something specific during training and hopefully they will retain it.</w:t>
      </w:r>
    </w:p>
    <w:p w:rsidR="005102F1" w:rsidRDefault="005102F1" w:rsidP="005102F1">
      <w:pPr>
        <w:spacing w:after="0" w:line="240" w:lineRule="auto"/>
        <w:ind w:left="1440"/>
      </w:pPr>
      <w:r>
        <w:t xml:space="preserve">- </w:t>
      </w:r>
      <w:r w:rsidR="00442327">
        <w:t>Initially w</w:t>
      </w:r>
      <w:r w:rsidR="005E4906">
        <w:t xml:space="preserve">e would focus the award on </w:t>
      </w:r>
      <w:r>
        <w:t xml:space="preserve">chemical labs, not machine shops, etc.  </w:t>
      </w:r>
    </w:p>
    <w:p w:rsidR="00216ED1" w:rsidRDefault="005102F1" w:rsidP="005102F1">
      <w:pPr>
        <w:spacing w:after="0" w:line="240" w:lineRule="auto"/>
        <w:ind w:left="1440"/>
      </w:pPr>
      <w:r>
        <w:t xml:space="preserve"> - </w:t>
      </w:r>
      <w:r w:rsidR="00216ED1">
        <w:t xml:space="preserve">Lab </w:t>
      </w:r>
      <w:r w:rsidR="00F33D97">
        <w:t>Safety</w:t>
      </w:r>
      <w:r w:rsidR="00216ED1">
        <w:t xml:space="preserve"> committee is comprised of mostly faculty; there may be some push back.  Finnegan – Safety awards for teaching, labs, and different areas.</w:t>
      </w:r>
    </w:p>
    <w:p w:rsidR="005102F1" w:rsidRDefault="005102F1" w:rsidP="005102F1">
      <w:pPr>
        <w:spacing w:after="0" w:line="240" w:lineRule="auto"/>
        <w:ind w:left="1440"/>
      </w:pPr>
      <w:r w:rsidRPr="00713551">
        <w:rPr>
          <w:u w:val="single"/>
        </w:rPr>
        <w:t>ACTION</w:t>
      </w:r>
      <w:r w:rsidR="00713551">
        <w:rPr>
          <w:u w:val="single"/>
        </w:rPr>
        <w:t xml:space="preserve"> ITEM</w:t>
      </w:r>
      <w:r w:rsidRPr="00713551">
        <w:rPr>
          <w:u w:val="single"/>
        </w:rPr>
        <w:t>:</w:t>
      </w:r>
      <w:r>
        <w:t xml:space="preserve">  Notify Lab Safety Committee that they are to address the issue:   Lab safety incentives.</w:t>
      </w:r>
    </w:p>
    <w:p w:rsidR="00174320" w:rsidRDefault="00174320" w:rsidP="00036279">
      <w:pPr>
        <w:spacing w:after="0" w:line="240" w:lineRule="auto"/>
        <w:ind w:left="360"/>
      </w:pPr>
    </w:p>
    <w:p w:rsidR="00CC10C5" w:rsidRDefault="00CC10C5" w:rsidP="00036279">
      <w:pPr>
        <w:pStyle w:val="ListParagraph"/>
        <w:numPr>
          <w:ilvl w:val="0"/>
          <w:numId w:val="5"/>
        </w:numPr>
        <w:spacing w:after="0" w:line="240" w:lineRule="auto"/>
      </w:pPr>
      <w:r>
        <w:t>OEHS Updates</w:t>
      </w:r>
    </w:p>
    <w:p w:rsidR="009F2D0F" w:rsidRDefault="000919BD" w:rsidP="00036279">
      <w:pPr>
        <w:pStyle w:val="ListParagraph"/>
        <w:numPr>
          <w:ilvl w:val="2"/>
          <w:numId w:val="5"/>
        </w:numPr>
        <w:spacing w:after="0" w:line="240" w:lineRule="auto"/>
        <w:ind w:left="1440"/>
      </w:pPr>
      <w:r>
        <w:t xml:space="preserve">Respiratory Protection Training </w:t>
      </w:r>
      <w:r w:rsidR="001778C9">
        <w:t xml:space="preserve">scheduled for </w:t>
      </w:r>
      <w:r>
        <w:t xml:space="preserve">the end of </w:t>
      </w:r>
      <w:r w:rsidR="001778C9">
        <w:t>April</w:t>
      </w:r>
      <w:r>
        <w:t>.</w:t>
      </w:r>
      <w:r w:rsidR="00474F5B">
        <w:t xml:space="preserve">  </w:t>
      </w:r>
    </w:p>
    <w:p w:rsidR="00474F5B" w:rsidRDefault="00CB079B" w:rsidP="00036279">
      <w:pPr>
        <w:pStyle w:val="ListParagraph"/>
        <w:numPr>
          <w:ilvl w:val="2"/>
          <w:numId w:val="5"/>
        </w:numPr>
        <w:spacing w:after="0" w:line="240" w:lineRule="auto"/>
        <w:ind w:left="1440"/>
      </w:pPr>
      <w:r>
        <w:t>Accident reports</w:t>
      </w:r>
      <w:r w:rsidR="000919BD">
        <w:t>.</w:t>
      </w:r>
    </w:p>
    <w:p w:rsidR="00C917D7" w:rsidRDefault="00713551" w:rsidP="00713551">
      <w:pPr>
        <w:spacing w:after="0" w:line="240" w:lineRule="auto"/>
        <w:ind w:left="1440"/>
      </w:pPr>
      <w:r>
        <w:t>There were only two injuries; both were custodial services</w:t>
      </w:r>
    </w:p>
    <w:p w:rsidR="00CB079B" w:rsidRDefault="000919BD" w:rsidP="00036279">
      <w:pPr>
        <w:pStyle w:val="ListParagraph"/>
        <w:numPr>
          <w:ilvl w:val="2"/>
          <w:numId w:val="5"/>
        </w:numPr>
        <w:spacing w:after="0" w:line="240" w:lineRule="auto"/>
        <w:ind w:left="1440"/>
      </w:pPr>
      <w:r>
        <w:t>Stabilization of an outdated peroxide former, tetrahydrofuran, at a cost of $3,270.00</w:t>
      </w:r>
      <w:r w:rsidR="00CB079B">
        <w:t>.</w:t>
      </w:r>
      <w:r>
        <w:t xml:space="preserve"> </w:t>
      </w:r>
    </w:p>
    <w:p w:rsidR="00C917D7" w:rsidRDefault="00713551" w:rsidP="00713551">
      <w:pPr>
        <w:spacing w:after="0" w:line="240" w:lineRule="auto"/>
        <w:ind w:left="1440"/>
      </w:pPr>
      <w:r>
        <w:t>Make sure that Deans and Chairs have people sign off when they leave UAH and that the labs are clean and chemicals, etc., accounted for.</w:t>
      </w:r>
    </w:p>
    <w:p w:rsidR="00CB079B" w:rsidRDefault="00CB079B" w:rsidP="00036279">
      <w:pPr>
        <w:pStyle w:val="ListParagraph"/>
        <w:numPr>
          <w:ilvl w:val="2"/>
          <w:numId w:val="5"/>
        </w:numPr>
        <w:spacing w:after="0" w:line="240" w:lineRule="auto"/>
        <w:ind w:left="1440"/>
      </w:pPr>
      <w:r>
        <w:t xml:space="preserve">Lab </w:t>
      </w:r>
      <w:r w:rsidR="00635D01">
        <w:t>EHS Inspections –</w:t>
      </w:r>
      <w:r>
        <w:t xml:space="preserve"> </w:t>
      </w:r>
      <w:r w:rsidR="000919BD">
        <w:t>April - O</w:t>
      </w:r>
      <w:r w:rsidR="00335CA1">
        <w:t>B</w:t>
      </w:r>
      <w:r w:rsidR="000919BD">
        <w:t>, May -</w:t>
      </w:r>
      <w:r w:rsidR="001778C9">
        <w:t xml:space="preserve"> SCST</w:t>
      </w:r>
      <w:r w:rsidR="000919BD">
        <w:t xml:space="preserve"> , June -</w:t>
      </w:r>
      <w:r w:rsidR="001778C9">
        <w:t xml:space="preserve"> MSB</w:t>
      </w:r>
      <w:r w:rsidR="000919BD">
        <w:t xml:space="preserve"> , July - </w:t>
      </w:r>
      <w:r w:rsidR="001778C9">
        <w:t xml:space="preserve"> RC, VBRH</w:t>
      </w:r>
    </w:p>
    <w:p w:rsidR="00C917D7" w:rsidRDefault="00713551" w:rsidP="00713551">
      <w:pPr>
        <w:spacing w:after="0" w:line="240" w:lineRule="auto"/>
        <w:ind w:left="1440"/>
      </w:pPr>
      <w:r>
        <w:t>These are or will be scheduled according to this timeframe.</w:t>
      </w:r>
    </w:p>
    <w:p w:rsidR="00FB4ADB" w:rsidRDefault="00FB4ADB" w:rsidP="00036279">
      <w:pPr>
        <w:pStyle w:val="ListParagraph"/>
        <w:numPr>
          <w:ilvl w:val="2"/>
          <w:numId w:val="5"/>
        </w:numPr>
        <w:spacing w:after="0" w:line="240" w:lineRule="auto"/>
        <w:ind w:left="1440"/>
      </w:pPr>
      <w:r>
        <w:t>Life Safety Code Inspections</w:t>
      </w:r>
      <w:r w:rsidR="00034B2F">
        <w:t xml:space="preserve"> – April </w:t>
      </w:r>
      <w:r w:rsidR="00335CA1">
        <w:t>– MH, CCRH, UFC</w:t>
      </w:r>
      <w:r w:rsidR="00034B2F">
        <w:t xml:space="preserve"> , May </w:t>
      </w:r>
      <w:r w:rsidR="00335CA1">
        <w:t>– IMF, CV, SCST</w:t>
      </w:r>
      <w:r w:rsidR="00034B2F">
        <w:t xml:space="preserve"> , June </w:t>
      </w:r>
      <w:r w:rsidR="00335CA1">
        <w:t>– MSB, OB</w:t>
      </w:r>
      <w:r w:rsidR="00034B2F">
        <w:t xml:space="preserve"> , July </w:t>
      </w:r>
      <w:r w:rsidR="00335CA1">
        <w:t>– VBRH, BAB, JRC</w:t>
      </w:r>
      <w:r w:rsidR="00034B2F">
        <w:t xml:space="preserve"> </w:t>
      </w:r>
      <w:r>
        <w:t xml:space="preserve"> </w:t>
      </w:r>
      <w:r w:rsidR="001778C9">
        <w:t xml:space="preserve"> </w:t>
      </w:r>
    </w:p>
    <w:p w:rsidR="00C917D7" w:rsidRDefault="00713551" w:rsidP="00713551">
      <w:pPr>
        <w:spacing w:after="0" w:line="240" w:lineRule="auto"/>
        <w:ind w:left="1440"/>
      </w:pPr>
      <w:r>
        <w:t>These are or will be scheduled according to this timeframe.</w:t>
      </w:r>
    </w:p>
    <w:p w:rsidR="00CC10C5" w:rsidRDefault="000919BD" w:rsidP="00713551">
      <w:pPr>
        <w:pStyle w:val="ListParagraph"/>
        <w:numPr>
          <w:ilvl w:val="2"/>
          <w:numId w:val="5"/>
        </w:numPr>
        <w:spacing w:after="0" w:line="240" w:lineRule="auto"/>
        <w:ind w:left="1440"/>
      </w:pPr>
      <w:r>
        <w:t>Machine Shop Audits for machine guarding were cond</w:t>
      </w:r>
      <w:r w:rsidR="00713551">
        <w:t xml:space="preserve">ucted in December.  Safety </w:t>
      </w:r>
      <w:r>
        <w:t>recommendations have been submitted to the appropriate departmental supervisors.</w:t>
      </w:r>
    </w:p>
    <w:p w:rsidR="00C917D7" w:rsidRDefault="00713551" w:rsidP="00713551">
      <w:pPr>
        <w:spacing w:after="0" w:line="240" w:lineRule="auto"/>
        <w:ind w:left="1440"/>
      </w:pPr>
      <w:r>
        <w:t xml:space="preserve">A vendor (Safe State) as onsite and helped conduct the audits.  All audits came out good.  </w:t>
      </w:r>
    </w:p>
    <w:p w:rsidR="00713551" w:rsidRDefault="00713551" w:rsidP="00713551">
      <w:pPr>
        <w:spacing w:after="0" w:line="240" w:lineRule="auto"/>
        <w:ind w:left="1440"/>
      </w:pPr>
      <w:r>
        <w:t>Cates – Was any guarding removed</w:t>
      </w:r>
      <w:r w:rsidR="00A8053D">
        <w:t xml:space="preserve"> from any of the equipment</w:t>
      </w:r>
      <w:r>
        <w:t>?</w:t>
      </w:r>
    </w:p>
    <w:p w:rsidR="00713551" w:rsidRDefault="00713551" w:rsidP="00713551">
      <w:pPr>
        <w:spacing w:after="0" w:line="240" w:lineRule="auto"/>
        <w:ind w:left="1440"/>
      </w:pPr>
      <w:r>
        <w:t>Pendleton – No; nothing was removed.</w:t>
      </w:r>
    </w:p>
    <w:p w:rsidR="002A345F" w:rsidRDefault="002A345F" w:rsidP="002A345F">
      <w:pPr>
        <w:spacing w:after="0" w:line="240" w:lineRule="auto"/>
        <w:ind w:left="360"/>
      </w:pPr>
    </w:p>
    <w:p w:rsidR="00D13A4D" w:rsidRPr="001A1775" w:rsidRDefault="00DA7032" w:rsidP="0003627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Safety Timeout </w:t>
      </w:r>
    </w:p>
    <w:p w:rsidR="00C917D7" w:rsidRDefault="00561C9B" w:rsidP="00713551">
      <w:pPr>
        <w:spacing w:after="0" w:line="240" w:lineRule="auto"/>
        <w:ind w:left="1440"/>
      </w:pPr>
      <w:r>
        <w:t xml:space="preserve"> - Lindquist/Cates:   Is the </w:t>
      </w:r>
      <w:r w:rsidR="00A8053D">
        <w:t xml:space="preserve">issue of working in a lab while </w:t>
      </w:r>
      <w:r w:rsidR="00F33D97">
        <w:t>pregnant</w:t>
      </w:r>
      <w:r w:rsidR="00A8053D">
        <w:t xml:space="preserve"> </w:t>
      </w:r>
      <w:r>
        <w:t>resolved?  The group met; nothing determined yet.</w:t>
      </w:r>
    </w:p>
    <w:p w:rsidR="00561C9B" w:rsidRDefault="00561C9B" w:rsidP="00713551">
      <w:pPr>
        <w:spacing w:after="0" w:line="240" w:lineRule="auto"/>
        <w:ind w:left="1440"/>
      </w:pPr>
      <w:r>
        <w:t xml:space="preserve"> - Finnegan:  Crosswalks are being looked at; launching a new master plan.  “Skipper” is </w:t>
      </w:r>
      <w:r w:rsidR="00A8053D">
        <w:t xml:space="preserve">an outside vendor that is </w:t>
      </w:r>
      <w:r>
        <w:t>doing a study across campus.</w:t>
      </w:r>
    </w:p>
    <w:p w:rsidR="002A345F" w:rsidRDefault="002A345F" w:rsidP="00036279">
      <w:pPr>
        <w:spacing w:after="0" w:line="240" w:lineRule="auto"/>
        <w:ind w:left="360"/>
      </w:pPr>
    </w:p>
    <w:p w:rsidR="001A1775" w:rsidRDefault="009826C2" w:rsidP="00036279">
      <w:pPr>
        <w:pStyle w:val="ListParagraph"/>
        <w:numPr>
          <w:ilvl w:val="0"/>
          <w:numId w:val="5"/>
        </w:numPr>
        <w:spacing w:after="0" w:line="240" w:lineRule="auto"/>
      </w:pPr>
      <w:r w:rsidRPr="001A1775">
        <w:t>Adjourn</w:t>
      </w:r>
    </w:p>
    <w:p w:rsidR="00A8053D" w:rsidRDefault="00A8053D" w:rsidP="00A8053D">
      <w:pPr>
        <w:spacing w:after="0" w:line="240" w:lineRule="auto"/>
        <w:ind w:left="1440"/>
      </w:pPr>
      <w:r>
        <w:t xml:space="preserve">- Motion to adjourn:  Mike Finnegan </w:t>
      </w:r>
    </w:p>
    <w:p w:rsidR="00A8053D" w:rsidRDefault="00A8053D" w:rsidP="00A8053D">
      <w:pPr>
        <w:spacing w:after="0" w:line="240" w:lineRule="auto"/>
        <w:ind w:left="1440"/>
      </w:pPr>
      <w:r>
        <w:t>- Second to motion:  John Cates</w:t>
      </w:r>
    </w:p>
    <w:p w:rsidR="00A87147" w:rsidRDefault="00A87147" w:rsidP="00036279">
      <w:pPr>
        <w:spacing w:after="0" w:line="240" w:lineRule="auto"/>
      </w:pPr>
    </w:p>
    <w:p w:rsidR="00A87147" w:rsidRDefault="00A87147" w:rsidP="00036279">
      <w:pPr>
        <w:spacing w:after="0" w:line="240" w:lineRule="auto"/>
      </w:pPr>
    </w:p>
    <w:sectPr w:rsidR="00A87147" w:rsidSect="00471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B0" w:rsidRDefault="00E36DB0" w:rsidP="00B97BFB">
      <w:pPr>
        <w:spacing w:after="0" w:line="240" w:lineRule="auto"/>
      </w:pPr>
      <w:r>
        <w:separator/>
      </w:r>
    </w:p>
  </w:endnote>
  <w:endnote w:type="continuationSeparator" w:id="0">
    <w:p w:rsidR="00E36DB0" w:rsidRDefault="00E36DB0" w:rsidP="00B9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FB" w:rsidRDefault="00B97B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FB" w:rsidRDefault="00B97B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FB" w:rsidRDefault="00B97B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B0" w:rsidRDefault="00E36DB0" w:rsidP="00B97BFB">
      <w:pPr>
        <w:spacing w:after="0" w:line="240" w:lineRule="auto"/>
      </w:pPr>
      <w:r>
        <w:separator/>
      </w:r>
    </w:p>
  </w:footnote>
  <w:footnote w:type="continuationSeparator" w:id="0">
    <w:p w:rsidR="00E36DB0" w:rsidRDefault="00E36DB0" w:rsidP="00B9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FB" w:rsidRDefault="00B97B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FB" w:rsidRDefault="00B97B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FB" w:rsidRDefault="00B97B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E91"/>
    <w:multiLevelType w:val="hybridMultilevel"/>
    <w:tmpl w:val="8D34A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3940"/>
    <w:multiLevelType w:val="hybridMultilevel"/>
    <w:tmpl w:val="0D9C9100"/>
    <w:lvl w:ilvl="0" w:tplc="2F4E07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0BF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4203A">
      <w:start w:val="23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03E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45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A76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A85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007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1278D6"/>
    <w:multiLevelType w:val="hybridMultilevel"/>
    <w:tmpl w:val="73B8D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27DC3"/>
    <w:multiLevelType w:val="hybridMultilevel"/>
    <w:tmpl w:val="43F8E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B549A"/>
    <w:multiLevelType w:val="hybridMultilevel"/>
    <w:tmpl w:val="7F380942"/>
    <w:lvl w:ilvl="0" w:tplc="AABA3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37F90"/>
    <w:multiLevelType w:val="hybridMultilevel"/>
    <w:tmpl w:val="269459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648F7"/>
    <w:multiLevelType w:val="hybridMultilevel"/>
    <w:tmpl w:val="4DCAA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53D20"/>
    <w:multiLevelType w:val="hybridMultilevel"/>
    <w:tmpl w:val="8EB09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E0BBF"/>
    <w:multiLevelType w:val="hybridMultilevel"/>
    <w:tmpl w:val="B8984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4A"/>
    <w:rsid w:val="00022187"/>
    <w:rsid w:val="0002602C"/>
    <w:rsid w:val="00034B2F"/>
    <w:rsid w:val="00036279"/>
    <w:rsid w:val="0006366A"/>
    <w:rsid w:val="000919BD"/>
    <w:rsid w:val="000A7D59"/>
    <w:rsid w:val="000E28DB"/>
    <w:rsid w:val="001105C5"/>
    <w:rsid w:val="00123CC6"/>
    <w:rsid w:val="00174320"/>
    <w:rsid w:val="0017541A"/>
    <w:rsid w:val="00176149"/>
    <w:rsid w:val="001778C9"/>
    <w:rsid w:val="00184BCB"/>
    <w:rsid w:val="001A0DAA"/>
    <w:rsid w:val="001A1775"/>
    <w:rsid w:val="001D1C02"/>
    <w:rsid w:val="001D5098"/>
    <w:rsid w:val="001D64AA"/>
    <w:rsid w:val="0021372A"/>
    <w:rsid w:val="00216ED1"/>
    <w:rsid w:val="0026331A"/>
    <w:rsid w:val="0026743D"/>
    <w:rsid w:val="00284C31"/>
    <w:rsid w:val="0029539A"/>
    <w:rsid w:val="002A345F"/>
    <w:rsid w:val="002C77AE"/>
    <w:rsid w:val="002E223B"/>
    <w:rsid w:val="00335CA1"/>
    <w:rsid w:val="00337923"/>
    <w:rsid w:val="0034157F"/>
    <w:rsid w:val="00361DB5"/>
    <w:rsid w:val="00392F6B"/>
    <w:rsid w:val="003A6EAE"/>
    <w:rsid w:val="003C0208"/>
    <w:rsid w:val="004070A4"/>
    <w:rsid w:val="00426B85"/>
    <w:rsid w:val="00442327"/>
    <w:rsid w:val="00471060"/>
    <w:rsid w:val="00471731"/>
    <w:rsid w:val="00474F5B"/>
    <w:rsid w:val="00483D07"/>
    <w:rsid w:val="00490460"/>
    <w:rsid w:val="004B03F6"/>
    <w:rsid w:val="004E70D3"/>
    <w:rsid w:val="004E772D"/>
    <w:rsid w:val="005102F1"/>
    <w:rsid w:val="00512961"/>
    <w:rsid w:val="00523D4A"/>
    <w:rsid w:val="00552004"/>
    <w:rsid w:val="00561C9B"/>
    <w:rsid w:val="00567D66"/>
    <w:rsid w:val="0057382C"/>
    <w:rsid w:val="005E0228"/>
    <w:rsid w:val="005E4906"/>
    <w:rsid w:val="005F5E5E"/>
    <w:rsid w:val="005F7BB6"/>
    <w:rsid w:val="00601EB2"/>
    <w:rsid w:val="006108BF"/>
    <w:rsid w:val="00635D01"/>
    <w:rsid w:val="00653CF5"/>
    <w:rsid w:val="006B1EA0"/>
    <w:rsid w:val="006E326D"/>
    <w:rsid w:val="006F6084"/>
    <w:rsid w:val="006F69A6"/>
    <w:rsid w:val="00700217"/>
    <w:rsid w:val="00707A90"/>
    <w:rsid w:val="00713551"/>
    <w:rsid w:val="00750E95"/>
    <w:rsid w:val="0075565B"/>
    <w:rsid w:val="0076159F"/>
    <w:rsid w:val="0076232E"/>
    <w:rsid w:val="007752E0"/>
    <w:rsid w:val="007824C2"/>
    <w:rsid w:val="007A1AF5"/>
    <w:rsid w:val="007A5BF9"/>
    <w:rsid w:val="007F5C62"/>
    <w:rsid w:val="00857BC2"/>
    <w:rsid w:val="00872344"/>
    <w:rsid w:val="00885D8C"/>
    <w:rsid w:val="008A2E09"/>
    <w:rsid w:val="008B50A8"/>
    <w:rsid w:val="008C1025"/>
    <w:rsid w:val="008C1F87"/>
    <w:rsid w:val="008C6239"/>
    <w:rsid w:val="008E4803"/>
    <w:rsid w:val="009071AC"/>
    <w:rsid w:val="00931FCB"/>
    <w:rsid w:val="009826C2"/>
    <w:rsid w:val="00992DFF"/>
    <w:rsid w:val="009F2D0F"/>
    <w:rsid w:val="00A45AAC"/>
    <w:rsid w:val="00A51B70"/>
    <w:rsid w:val="00A6420A"/>
    <w:rsid w:val="00A77466"/>
    <w:rsid w:val="00A8053D"/>
    <w:rsid w:val="00A83FDC"/>
    <w:rsid w:val="00A87147"/>
    <w:rsid w:val="00AA4BF5"/>
    <w:rsid w:val="00AB2DFF"/>
    <w:rsid w:val="00B12527"/>
    <w:rsid w:val="00B2323B"/>
    <w:rsid w:val="00B34BAE"/>
    <w:rsid w:val="00B36093"/>
    <w:rsid w:val="00B71C95"/>
    <w:rsid w:val="00B8472A"/>
    <w:rsid w:val="00B97BFB"/>
    <w:rsid w:val="00BB2D56"/>
    <w:rsid w:val="00BE3935"/>
    <w:rsid w:val="00C03809"/>
    <w:rsid w:val="00C16EE9"/>
    <w:rsid w:val="00C468C7"/>
    <w:rsid w:val="00C64942"/>
    <w:rsid w:val="00C75521"/>
    <w:rsid w:val="00C917D7"/>
    <w:rsid w:val="00CB079B"/>
    <w:rsid w:val="00CB46D4"/>
    <w:rsid w:val="00CC10C5"/>
    <w:rsid w:val="00CD17E8"/>
    <w:rsid w:val="00CE3642"/>
    <w:rsid w:val="00CE4AE3"/>
    <w:rsid w:val="00D13A4D"/>
    <w:rsid w:val="00D32E84"/>
    <w:rsid w:val="00D61E96"/>
    <w:rsid w:val="00D84DE9"/>
    <w:rsid w:val="00DA7032"/>
    <w:rsid w:val="00DB46EF"/>
    <w:rsid w:val="00DB4810"/>
    <w:rsid w:val="00DC0832"/>
    <w:rsid w:val="00E171D1"/>
    <w:rsid w:val="00E36DB0"/>
    <w:rsid w:val="00E52247"/>
    <w:rsid w:val="00E73E3F"/>
    <w:rsid w:val="00E94DBC"/>
    <w:rsid w:val="00EA4CEA"/>
    <w:rsid w:val="00EB1ED0"/>
    <w:rsid w:val="00EF1081"/>
    <w:rsid w:val="00F04BCF"/>
    <w:rsid w:val="00F0761D"/>
    <w:rsid w:val="00F33D97"/>
    <w:rsid w:val="00F35817"/>
    <w:rsid w:val="00F62FEE"/>
    <w:rsid w:val="00F84C50"/>
    <w:rsid w:val="00FB4ADB"/>
    <w:rsid w:val="00FB5242"/>
    <w:rsid w:val="00FB6BD5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F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B03F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0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BFB"/>
  </w:style>
  <w:style w:type="paragraph" w:styleId="Footer">
    <w:name w:val="footer"/>
    <w:basedOn w:val="Normal"/>
    <w:link w:val="FooterChar"/>
    <w:uiPriority w:val="99"/>
    <w:unhideWhenUsed/>
    <w:rsid w:val="00B9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F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B03F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0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BFB"/>
  </w:style>
  <w:style w:type="paragraph" w:styleId="Footer">
    <w:name w:val="footer"/>
    <w:basedOn w:val="Normal"/>
    <w:link w:val="FooterChar"/>
    <w:uiPriority w:val="99"/>
    <w:unhideWhenUsed/>
    <w:rsid w:val="00B9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9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30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1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2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7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5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3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pendletonm</dc:creator>
  <cp:lastModifiedBy>Debby Griftith</cp:lastModifiedBy>
  <cp:revision>2</cp:revision>
  <cp:lastPrinted>2013-06-27T15:39:00Z</cp:lastPrinted>
  <dcterms:created xsi:type="dcterms:W3CDTF">2015-10-29T15:11:00Z</dcterms:created>
  <dcterms:modified xsi:type="dcterms:W3CDTF">2015-10-29T15:11:00Z</dcterms:modified>
</cp:coreProperties>
</file>