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06B" w:rsidRDefault="006F506B" w:rsidP="001460D0">
      <w:pPr>
        <w:spacing w:after="200" w:line="240" w:lineRule="auto"/>
        <w:ind w:left="90"/>
        <w:jc w:val="center"/>
        <w:rPr>
          <w:b/>
        </w:rPr>
      </w:pPr>
      <w:bookmarkStart w:id="0" w:name="_GoBack"/>
      <w:bookmarkEnd w:id="0"/>
      <w:r w:rsidRPr="006A025D">
        <w:rPr>
          <w:b/>
          <w:spacing w:val="-1"/>
        </w:rPr>
        <w:t>THE UNIVERSITY OF ALABAMA IN HUNTSVILLE</w:t>
      </w:r>
    </w:p>
    <w:p w:rsidR="006F506B" w:rsidRPr="006A025D" w:rsidRDefault="006F506B" w:rsidP="001460D0">
      <w:pPr>
        <w:spacing w:after="200" w:line="240" w:lineRule="auto"/>
        <w:ind w:left="90" w:hanging="1"/>
        <w:jc w:val="center"/>
        <w:rPr>
          <w:b/>
        </w:rPr>
      </w:pPr>
      <w:r>
        <w:rPr>
          <w:b/>
          <w:spacing w:val="-3"/>
        </w:rPr>
        <w:t>FACULTY CREDENTIALS POLICY</w:t>
      </w:r>
    </w:p>
    <w:p w:rsidR="00E47F32" w:rsidRPr="006A025D" w:rsidRDefault="00E47F32" w:rsidP="00174B5A">
      <w:pPr>
        <w:tabs>
          <w:tab w:val="left" w:pos="1440"/>
        </w:tabs>
        <w:spacing w:after="200" w:line="240" w:lineRule="auto"/>
        <w:ind w:right="1950"/>
      </w:pPr>
      <w:r w:rsidRPr="006A025D">
        <w:rPr>
          <w:b/>
          <w:u w:val="single"/>
        </w:rPr>
        <w:t>Number</w:t>
      </w:r>
      <w:r w:rsidR="00174B5A" w:rsidRPr="00174B5A">
        <w:rPr>
          <w:b/>
        </w:rPr>
        <w:tab/>
      </w:r>
      <w:r>
        <w:t>02.01.</w:t>
      </w:r>
      <w:r w:rsidR="00A275CC">
        <w:t>56</w:t>
      </w:r>
    </w:p>
    <w:p w:rsidR="00E47F32" w:rsidRPr="006A025D" w:rsidRDefault="00E47F32" w:rsidP="001460D0">
      <w:pPr>
        <w:tabs>
          <w:tab w:val="left" w:pos="1440"/>
        </w:tabs>
        <w:spacing w:after="200" w:line="240" w:lineRule="auto"/>
        <w:ind w:right="1950"/>
      </w:pPr>
      <w:r w:rsidRPr="006A025D">
        <w:rPr>
          <w:b/>
          <w:u w:val="single"/>
        </w:rPr>
        <w:t>Division</w:t>
      </w:r>
      <w:r>
        <w:t xml:space="preserve"> </w:t>
      </w:r>
      <w:r>
        <w:tab/>
        <w:t>Academic Affairs</w:t>
      </w:r>
    </w:p>
    <w:p w:rsidR="00E47F32" w:rsidRPr="006A025D" w:rsidRDefault="00E47F32" w:rsidP="001460D0">
      <w:pPr>
        <w:tabs>
          <w:tab w:val="left" w:pos="1440"/>
        </w:tabs>
        <w:spacing w:after="200" w:line="240" w:lineRule="auto"/>
        <w:ind w:right="1950"/>
      </w:pPr>
      <w:r w:rsidRPr="006A025D">
        <w:rPr>
          <w:b/>
          <w:u w:val="single"/>
        </w:rPr>
        <w:t>Date</w:t>
      </w:r>
      <w:r w:rsidRPr="007740B4">
        <w:rPr>
          <w:b/>
        </w:rPr>
        <w:tab/>
      </w:r>
      <w:r>
        <w:t>June 2016</w:t>
      </w:r>
    </w:p>
    <w:p w:rsidR="00D5069F" w:rsidRPr="00D5069F" w:rsidRDefault="00E47F32" w:rsidP="00ED5CCF">
      <w:pPr>
        <w:spacing w:after="200" w:line="240" w:lineRule="auto"/>
        <w:ind w:left="1440" w:hanging="1440"/>
        <w:rPr>
          <w:rFonts w:eastAsia="Calibri"/>
        </w:rPr>
      </w:pPr>
      <w:r>
        <w:rPr>
          <w:b/>
          <w:spacing w:val="-3"/>
          <w:u w:val="single"/>
        </w:rPr>
        <w:t>Purpose</w:t>
      </w:r>
      <w:r w:rsidR="00174B5A">
        <w:rPr>
          <w:rFonts w:asciiTheme="minorHAnsi" w:hAnsiTheme="minorHAnsi" w:cstheme="minorHAnsi"/>
        </w:rPr>
        <w:t xml:space="preserve"> </w:t>
      </w:r>
      <w:r>
        <w:rPr>
          <w:rFonts w:asciiTheme="minorHAnsi" w:hAnsiTheme="minorHAnsi" w:cstheme="minorHAnsi"/>
          <w:spacing w:val="25"/>
        </w:rPr>
        <w:tab/>
      </w:r>
      <w:r w:rsidR="00D5069F" w:rsidRPr="00D5069F">
        <w:rPr>
          <w:rFonts w:eastAsia="Calibri"/>
        </w:rPr>
        <w:t xml:space="preserve">The purpose of this </w:t>
      </w:r>
      <w:r w:rsidR="0094263D">
        <w:rPr>
          <w:rFonts w:eastAsia="Calibri"/>
        </w:rPr>
        <w:t>p</w:t>
      </w:r>
      <w:r w:rsidR="00D5069F" w:rsidRPr="00D5069F">
        <w:rPr>
          <w:rFonts w:eastAsia="Calibri"/>
        </w:rPr>
        <w:t xml:space="preserve">olicy is to define the credentials </w:t>
      </w:r>
      <w:r w:rsidR="000058CF">
        <w:rPr>
          <w:rFonts w:eastAsia="Calibri"/>
        </w:rPr>
        <w:t xml:space="preserve">expected and to describe the credentialing process </w:t>
      </w:r>
      <w:r w:rsidR="00D5069F" w:rsidRPr="00D5069F">
        <w:rPr>
          <w:rFonts w:eastAsia="Calibri"/>
        </w:rPr>
        <w:t xml:space="preserve">for </w:t>
      </w:r>
      <w:r w:rsidR="007032F7">
        <w:rPr>
          <w:rFonts w:eastAsia="Calibri"/>
        </w:rPr>
        <w:t xml:space="preserve">full-time and part-time </w:t>
      </w:r>
      <w:r w:rsidR="00D5069F" w:rsidRPr="00D5069F">
        <w:rPr>
          <w:rFonts w:eastAsia="Calibri"/>
        </w:rPr>
        <w:t>faculty, graduate teaching assistants (GTAs</w:t>
      </w:r>
      <w:r w:rsidR="00377A38">
        <w:rPr>
          <w:rFonts w:eastAsia="Calibri"/>
        </w:rPr>
        <w:t>)</w:t>
      </w:r>
      <w:r w:rsidR="00D309C3">
        <w:rPr>
          <w:rFonts w:eastAsia="Calibri"/>
        </w:rPr>
        <w:t>,</w:t>
      </w:r>
      <w:r w:rsidR="00D5069F" w:rsidRPr="00D5069F">
        <w:rPr>
          <w:rFonts w:eastAsia="Calibri"/>
        </w:rPr>
        <w:t xml:space="preserve"> and other individuals to teach courses at The University of Alabama in Huntsville</w:t>
      </w:r>
      <w:r w:rsidR="00AD6538">
        <w:rPr>
          <w:rFonts w:eastAsia="Calibri"/>
        </w:rPr>
        <w:t>.</w:t>
      </w:r>
      <w:r w:rsidR="00174B5A">
        <w:rPr>
          <w:rFonts w:eastAsia="Calibri"/>
        </w:rPr>
        <w:t xml:space="preserve"> </w:t>
      </w:r>
      <w:r w:rsidR="00AD6538">
        <w:rPr>
          <w:rFonts w:eastAsia="Calibri"/>
        </w:rPr>
        <w:t>Adherence to this policy will</w:t>
      </w:r>
      <w:r w:rsidR="000058CF">
        <w:rPr>
          <w:rFonts w:eastAsia="Calibri"/>
        </w:rPr>
        <w:t xml:space="preserve"> ensure </w:t>
      </w:r>
      <w:r w:rsidR="00D5069F" w:rsidRPr="00D5069F">
        <w:rPr>
          <w:rFonts w:eastAsia="Calibri"/>
        </w:rPr>
        <w:t>that all who teach are</w:t>
      </w:r>
      <w:r w:rsidR="007D2332">
        <w:rPr>
          <w:rFonts w:eastAsia="Calibri"/>
        </w:rPr>
        <w:t xml:space="preserve"> qualified</w:t>
      </w:r>
      <w:r w:rsidR="000058CF">
        <w:rPr>
          <w:rFonts w:eastAsia="Calibri"/>
        </w:rPr>
        <w:t xml:space="preserve"> for their teaching </w:t>
      </w:r>
      <w:r w:rsidR="00AD6538">
        <w:rPr>
          <w:rFonts w:eastAsia="Calibri"/>
        </w:rPr>
        <w:t>assignments</w:t>
      </w:r>
      <w:r w:rsidR="000058CF">
        <w:rPr>
          <w:rFonts w:eastAsia="Calibri"/>
        </w:rPr>
        <w:t>.</w:t>
      </w:r>
      <w:r w:rsidR="007D2332">
        <w:rPr>
          <w:rFonts w:eastAsia="Calibri"/>
        </w:rPr>
        <w:t xml:space="preserve"> The policy will help maintain</w:t>
      </w:r>
      <w:r w:rsidR="00D5069F" w:rsidRPr="00D5069F">
        <w:rPr>
          <w:rFonts w:eastAsia="Calibri"/>
        </w:rPr>
        <w:t xml:space="preserve"> compliance with</w:t>
      </w:r>
      <w:r w:rsidR="00377A38">
        <w:rPr>
          <w:rFonts w:eastAsia="Calibri"/>
        </w:rPr>
        <w:t xml:space="preserve"> the</w:t>
      </w:r>
      <w:r w:rsidR="00D5069F" w:rsidRPr="00D5069F">
        <w:rPr>
          <w:rFonts w:eastAsia="Calibri"/>
        </w:rPr>
        <w:t xml:space="preserve"> S</w:t>
      </w:r>
      <w:r w:rsidR="00377A38">
        <w:rPr>
          <w:rFonts w:eastAsia="Calibri"/>
        </w:rPr>
        <w:t xml:space="preserve">outhern </w:t>
      </w:r>
      <w:r w:rsidR="00D5069F" w:rsidRPr="00D5069F">
        <w:rPr>
          <w:rFonts w:eastAsia="Calibri"/>
        </w:rPr>
        <w:t>A</w:t>
      </w:r>
      <w:r w:rsidR="00377A38">
        <w:rPr>
          <w:rFonts w:eastAsia="Calibri"/>
        </w:rPr>
        <w:t xml:space="preserve">ssociation of </w:t>
      </w:r>
      <w:r w:rsidR="00D5069F" w:rsidRPr="00D5069F">
        <w:rPr>
          <w:rFonts w:eastAsia="Calibri"/>
        </w:rPr>
        <w:t>C</w:t>
      </w:r>
      <w:r w:rsidR="00377A38">
        <w:rPr>
          <w:rFonts w:eastAsia="Calibri"/>
        </w:rPr>
        <w:t xml:space="preserve">olleges and </w:t>
      </w:r>
      <w:r w:rsidR="00D5069F" w:rsidRPr="00D5069F">
        <w:rPr>
          <w:rFonts w:eastAsia="Calibri"/>
        </w:rPr>
        <w:t>S</w:t>
      </w:r>
      <w:r w:rsidR="00377A38">
        <w:rPr>
          <w:rFonts w:eastAsia="Calibri"/>
        </w:rPr>
        <w:t xml:space="preserve">chools </w:t>
      </w:r>
      <w:r w:rsidR="00D5069F" w:rsidRPr="00D5069F">
        <w:rPr>
          <w:rFonts w:eastAsia="Calibri"/>
        </w:rPr>
        <w:t>C</w:t>
      </w:r>
      <w:r w:rsidR="00377A38">
        <w:rPr>
          <w:rFonts w:eastAsia="Calibri"/>
        </w:rPr>
        <w:t>ommission on Colleges (SACSC</w:t>
      </w:r>
      <w:r w:rsidR="00D5069F" w:rsidRPr="00D5069F">
        <w:rPr>
          <w:rFonts w:eastAsia="Calibri"/>
        </w:rPr>
        <w:t>OC</w:t>
      </w:r>
      <w:r w:rsidR="00377A38">
        <w:rPr>
          <w:rFonts w:eastAsia="Calibri"/>
        </w:rPr>
        <w:t>)</w:t>
      </w:r>
      <w:r w:rsidR="00D5069F" w:rsidRPr="00D5069F">
        <w:rPr>
          <w:rFonts w:eastAsia="Calibri"/>
        </w:rPr>
        <w:t xml:space="preserve"> </w:t>
      </w:r>
      <w:r w:rsidR="000058CF">
        <w:rPr>
          <w:rFonts w:eastAsia="Calibri"/>
        </w:rPr>
        <w:t>Comprehensive S</w:t>
      </w:r>
      <w:r w:rsidR="00D5069F" w:rsidRPr="00D5069F">
        <w:rPr>
          <w:rFonts w:eastAsia="Calibri"/>
        </w:rPr>
        <w:t>tandard</w:t>
      </w:r>
      <w:r w:rsidR="007D2332">
        <w:rPr>
          <w:rFonts w:eastAsia="Calibri"/>
        </w:rPr>
        <w:t xml:space="preserve"> 3.7.1.</w:t>
      </w:r>
    </w:p>
    <w:p w:rsidR="00765B99" w:rsidRDefault="00D5069F" w:rsidP="00ED5CCF">
      <w:pPr>
        <w:spacing w:after="200" w:line="240" w:lineRule="auto"/>
        <w:ind w:left="1440" w:hanging="1440"/>
      </w:pPr>
      <w:r w:rsidRPr="00E47F32">
        <w:rPr>
          <w:rFonts w:eastAsia="Calibri"/>
          <w:b/>
          <w:u w:val="single"/>
        </w:rPr>
        <w:t>Policy</w:t>
      </w:r>
      <w:r w:rsidR="00E47F32" w:rsidRPr="00E47F32">
        <w:rPr>
          <w:rFonts w:eastAsia="Calibri"/>
          <w:b/>
        </w:rPr>
        <w:tab/>
      </w:r>
      <w:r w:rsidR="00CE45CA" w:rsidRPr="00A55001">
        <w:rPr>
          <w:rFonts w:eastAsia="Calibri"/>
        </w:rPr>
        <w:t xml:space="preserve">The instructor </w:t>
      </w:r>
      <w:r w:rsidR="00B00EF3">
        <w:rPr>
          <w:rFonts w:eastAsia="Calibri"/>
        </w:rPr>
        <w:t xml:space="preserve">assigned teaching responsibility </w:t>
      </w:r>
      <w:r w:rsidR="00CE45CA" w:rsidRPr="00A55001">
        <w:rPr>
          <w:rFonts w:eastAsia="Calibri"/>
        </w:rPr>
        <w:t>for each academic credit course offered at UAH must</w:t>
      </w:r>
      <w:r w:rsidR="007D2332">
        <w:rPr>
          <w:rFonts w:eastAsia="Calibri"/>
        </w:rPr>
        <w:t xml:space="preserve"> document </w:t>
      </w:r>
      <w:r w:rsidR="00B41B56">
        <w:rPr>
          <w:rFonts w:eastAsia="Calibri"/>
        </w:rPr>
        <w:t xml:space="preserve">having </w:t>
      </w:r>
      <w:r w:rsidR="00CE45CA" w:rsidRPr="00A55001">
        <w:rPr>
          <w:rFonts w:eastAsia="Calibri"/>
        </w:rPr>
        <w:t xml:space="preserve">the proper credentials for the discipline in which he or she is teaching. </w:t>
      </w:r>
      <w:r w:rsidR="00CE45CA">
        <w:rPr>
          <w:rFonts w:eastAsia="Calibri"/>
        </w:rPr>
        <w:t xml:space="preserve">UAH bases its definition of faculty </w:t>
      </w:r>
      <w:r w:rsidR="004A2F69">
        <w:rPr>
          <w:rFonts w:eastAsia="Calibri"/>
        </w:rPr>
        <w:t>credentials</w:t>
      </w:r>
      <w:r w:rsidR="00CE45CA">
        <w:rPr>
          <w:rFonts w:eastAsia="Calibri"/>
        </w:rPr>
        <w:t xml:space="preserve"> on guidelines supplied by the Southern Association of Colleges and Schools Commission on Colleges (SACSCOC).</w:t>
      </w:r>
      <w:r w:rsidR="00174B5A">
        <w:rPr>
          <w:rFonts w:eastAsia="Calibri"/>
        </w:rPr>
        <w:t xml:space="preserve"> </w:t>
      </w:r>
      <w:r w:rsidR="0034530B">
        <w:rPr>
          <w:rFonts w:eastAsia="Calibri"/>
        </w:rPr>
        <w:t>In Comprehe</w:t>
      </w:r>
      <w:r w:rsidR="00765B99">
        <w:rPr>
          <w:rFonts w:eastAsia="Calibri"/>
        </w:rPr>
        <w:t>n</w:t>
      </w:r>
      <w:r w:rsidR="0034530B">
        <w:rPr>
          <w:rFonts w:eastAsia="Calibri"/>
        </w:rPr>
        <w:t xml:space="preserve">sive Standard 3.7.1, </w:t>
      </w:r>
      <w:r w:rsidRPr="00D5069F">
        <w:t>SACSCOC requires that all teaching faculty hold academic credentials appropriate to the courses that they teach.</w:t>
      </w:r>
      <w:r w:rsidR="00174B5A">
        <w:t xml:space="preserve"> </w:t>
      </w:r>
      <w:r w:rsidR="00765B99">
        <w:t>Comprehensive Standard 3.7.1 states that universities employ “competent faculty members qualified to accomplish the goals and mission of the university.”</w:t>
      </w:r>
      <w:r w:rsidR="00174B5A">
        <w:t xml:space="preserve"> </w:t>
      </w:r>
      <w:proofErr w:type="gramStart"/>
      <w:r w:rsidR="00765B99">
        <w:t>Standard 3.7.1.</w:t>
      </w:r>
      <w:proofErr w:type="gramEnd"/>
      <w:r w:rsidR="00765B99">
        <w:t xml:space="preserve"> </w:t>
      </w:r>
      <w:proofErr w:type="gramStart"/>
      <w:r w:rsidR="00AD6538">
        <w:t>further</w:t>
      </w:r>
      <w:proofErr w:type="gramEnd"/>
      <w:r w:rsidR="00AD6538">
        <w:t xml:space="preserve"> </w:t>
      </w:r>
      <w:r w:rsidR="00765B99">
        <w:t>states, “</w:t>
      </w:r>
      <w:r w:rsidR="00765B99" w:rsidRPr="00765B99">
        <w:t>When determining acceptable qualifications of its faculty, an institution gives primary consideration to the highest earned degree in the discipline.</w:t>
      </w:r>
      <w:r w:rsidR="00174B5A">
        <w:t xml:space="preserve"> </w:t>
      </w:r>
      <w:r w:rsidR="00765B99" w:rsidRPr="00765B99">
        <w:t xml:space="preserve">The institution also considers competence, effectiveness, and capacity, including, as appropriate, undergraduate and graduate degrees, related work experiences in the field, professional licensure and certifications, honors and awards, continuous documented excellence in teaching, or other </w:t>
      </w:r>
      <w:proofErr w:type="gramStart"/>
      <w:r w:rsidR="00765B99" w:rsidRPr="00765B99">
        <w:t>demonstrated</w:t>
      </w:r>
      <w:proofErr w:type="gramEnd"/>
      <w:r w:rsidR="00765B99" w:rsidRPr="00765B99">
        <w:t xml:space="preserve"> competencies and achievements that contribute to effective teaching and student learning outcomes</w:t>
      </w:r>
      <w:r w:rsidR="00765B99">
        <w:t>.”</w:t>
      </w:r>
      <w:r w:rsidR="00174B5A">
        <w:t xml:space="preserve"> </w:t>
      </w:r>
      <w:r w:rsidRPr="00D5069F">
        <w:t xml:space="preserve">The SACSCOC guidelines </w:t>
      </w:r>
      <w:r w:rsidR="00765B99">
        <w:t xml:space="preserve">are </w:t>
      </w:r>
      <w:r w:rsidR="00377A38">
        <w:t>given in Appendix A</w:t>
      </w:r>
      <w:r w:rsidR="00765B99">
        <w:t>.</w:t>
      </w:r>
    </w:p>
    <w:p w:rsidR="00D5069F" w:rsidRPr="00D5069F" w:rsidRDefault="00D5069F">
      <w:pPr>
        <w:spacing w:after="200" w:line="240" w:lineRule="auto"/>
        <w:ind w:left="1440"/>
      </w:pPr>
      <w:r w:rsidRPr="00D5069F">
        <w:t xml:space="preserve">This policy describes </w:t>
      </w:r>
      <w:r w:rsidR="000058CF">
        <w:t xml:space="preserve">the </w:t>
      </w:r>
      <w:r w:rsidRPr="00D5069F">
        <w:t xml:space="preserve">types of </w:t>
      </w:r>
      <w:r w:rsidR="00887356">
        <w:t>faculty assigned to a course, appropriate documentation</w:t>
      </w:r>
      <w:r w:rsidR="00C85F77">
        <w:t>,</w:t>
      </w:r>
      <w:r w:rsidR="00887356">
        <w:t xml:space="preserve"> the </w:t>
      </w:r>
      <w:r w:rsidRPr="00D5069F">
        <w:t>credentials required</w:t>
      </w:r>
      <w:r w:rsidR="00765B99">
        <w:t xml:space="preserve"> to teach at the graduate and undergraduate levels</w:t>
      </w:r>
      <w:r w:rsidRPr="00D5069F">
        <w:t xml:space="preserve">, </w:t>
      </w:r>
      <w:r w:rsidR="00887356">
        <w:t>the types of credentials</w:t>
      </w:r>
      <w:r w:rsidR="000058CF">
        <w:t>, and the process</w:t>
      </w:r>
      <w:r w:rsidR="00437FCE">
        <w:t xml:space="preserve"> to document compliance</w:t>
      </w:r>
      <w:r w:rsidR="00766605">
        <w:t>.</w:t>
      </w:r>
    </w:p>
    <w:p w:rsidR="005C4964" w:rsidRDefault="005C4964" w:rsidP="001460D0">
      <w:pPr>
        <w:spacing w:after="200" w:line="240" w:lineRule="auto"/>
        <w:rPr>
          <w:rFonts w:eastAsia="Calibri"/>
          <w:b/>
          <w:u w:val="single"/>
        </w:rPr>
      </w:pPr>
    </w:p>
    <w:p w:rsidR="005C4964" w:rsidRDefault="005C4964" w:rsidP="001460D0">
      <w:pPr>
        <w:spacing w:after="200" w:line="240" w:lineRule="auto"/>
        <w:rPr>
          <w:rFonts w:eastAsia="Calibri"/>
          <w:b/>
          <w:u w:val="single"/>
        </w:rPr>
      </w:pPr>
    </w:p>
    <w:p w:rsidR="00765B99" w:rsidRPr="00E47F32" w:rsidRDefault="005975BE" w:rsidP="001460D0">
      <w:pPr>
        <w:spacing w:after="200" w:line="240" w:lineRule="auto"/>
        <w:rPr>
          <w:rFonts w:eastAsia="Calibri"/>
          <w:b/>
          <w:u w:val="single"/>
        </w:rPr>
      </w:pPr>
      <w:r w:rsidRPr="00E47F32">
        <w:rPr>
          <w:rFonts w:eastAsia="Calibri"/>
          <w:b/>
          <w:u w:val="single"/>
        </w:rPr>
        <w:lastRenderedPageBreak/>
        <w:t>Procedures</w:t>
      </w:r>
    </w:p>
    <w:p w:rsidR="005975BE" w:rsidRPr="004506B1" w:rsidRDefault="005975BE" w:rsidP="004506B1">
      <w:pPr>
        <w:pStyle w:val="ListParagraph"/>
        <w:numPr>
          <w:ilvl w:val="0"/>
          <w:numId w:val="2"/>
        </w:numPr>
        <w:spacing w:after="200" w:line="240" w:lineRule="auto"/>
        <w:ind w:hanging="360"/>
        <w:rPr>
          <w:rFonts w:eastAsia="Calibri"/>
          <w:b/>
        </w:rPr>
      </w:pPr>
      <w:r w:rsidRPr="004506B1">
        <w:rPr>
          <w:rFonts w:eastAsia="Calibri"/>
          <w:b/>
        </w:rPr>
        <w:t>Faculty Credentials</w:t>
      </w:r>
    </w:p>
    <w:p w:rsidR="000964ED" w:rsidRPr="001460D0" w:rsidRDefault="009F5DE0" w:rsidP="004506B1">
      <w:pPr>
        <w:spacing w:after="200" w:line="240" w:lineRule="auto"/>
        <w:ind w:left="2160" w:hanging="360"/>
      </w:pPr>
      <w:r>
        <w:t>A</w:t>
      </w:r>
      <w:r w:rsidR="000964ED" w:rsidRPr="001460D0">
        <w:t>.</w:t>
      </w:r>
      <w:r w:rsidR="004506B1">
        <w:tab/>
      </w:r>
      <w:r w:rsidR="000964ED" w:rsidRPr="001460D0">
        <w:t xml:space="preserve">Instructor </w:t>
      </w:r>
      <w:r w:rsidR="00492961">
        <w:t>Types.</w:t>
      </w:r>
      <w:r w:rsidR="00174B5A">
        <w:t xml:space="preserve"> </w:t>
      </w:r>
      <w:r w:rsidR="000964ED" w:rsidRPr="001460D0">
        <w:t>A completed Faculty Hiring and Credentials form, shown in Appendix B, with official transcripts for each degree earned and any other documentation required or associated with the discipline that demonstrates experience or expertise (e.g. licensure, certification)</w:t>
      </w:r>
      <w:r w:rsidR="009F6FD7">
        <w:t>,</w:t>
      </w:r>
      <w:r w:rsidR="000964ED" w:rsidRPr="001460D0">
        <w:t xml:space="preserve"> must be in the faculty member’s personnel file in order for the individual to teach as the instructor of record or to teach under the supervision of a regular faculty for any academic credit </w:t>
      </w:r>
      <w:r w:rsidR="000964ED" w:rsidRPr="005D095D">
        <w:t>course</w:t>
      </w:r>
      <w:r w:rsidR="00925786" w:rsidRPr="005D095D">
        <w:t xml:space="preserve"> (i.e. secondary instructor or GTA)</w:t>
      </w:r>
      <w:r w:rsidR="000964ED" w:rsidRPr="005D095D">
        <w:t>.</w:t>
      </w:r>
      <w:r w:rsidR="000964ED" w:rsidRPr="007345DA">
        <w:t xml:space="preserve"> </w:t>
      </w:r>
      <w:r w:rsidR="001873BE" w:rsidRPr="007345DA">
        <w:t xml:space="preserve">This form and the documentation are </w:t>
      </w:r>
      <w:r w:rsidR="00E879E1" w:rsidRPr="007345DA">
        <w:t xml:space="preserve">typically </w:t>
      </w:r>
      <w:r w:rsidR="001873BE" w:rsidRPr="007345DA">
        <w:t>completed</w:t>
      </w:r>
      <w:r w:rsidR="001873BE">
        <w:t xml:space="preserve"> during the hiring process</w:t>
      </w:r>
      <w:r w:rsidR="00E879E1">
        <w:t xml:space="preserve"> but </w:t>
      </w:r>
      <w:r w:rsidR="00E879E1" w:rsidRPr="007345DA">
        <w:t>may be updated if teaching responsibilities change</w:t>
      </w:r>
      <w:r w:rsidR="001873BE" w:rsidRPr="007345DA">
        <w:t>.</w:t>
      </w:r>
      <w:r w:rsidR="001873BE">
        <w:t xml:space="preserve"> </w:t>
      </w:r>
    </w:p>
    <w:p w:rsidR="000964ED" w:rsidRPr="008C0276" w:rsidRDefault="000964ED" w:rsidP="004506B1">
      <w:pPr>
        <w:pStyle w:val="Default"/>
        <w:numPr>
          <w:ilvl w:val="0"/>
          <w:numId w:val="1"/>
        </w:numPr>
        <w:tabs>
          <w:tab w:val="left" w:pos="1530"/>
        </w:tabs>
        <w:spacing w:after="200"/>
        <w:ind w:left="2520" w:hanging="364"/>
        <w:rPr>
          <w:rFonts w:ascii="Arial" w:hAnsi="Arial" w:cs="Arial"/>
        </w:rPr>
      </w:pPr>
      <w:r w:rsidRPr="008C0276">
        <w:rPr>
          <w:rFonts w:ascii="Arial" w:hAnsi="Arial" w:cs="Arial"/>
          <w:bCs/>
        </w:rPr>
        <w:t>Instructor of Record.</w:t>
      </w:r>
      <w:r w:rsidR="00174B5A" w:rsidRPr="008C0276">
        <w:rPr>
          <w:rFonts w:ascii="Arial" w:hAnsi="Arial" w:cs="Arial"/>
          <w:b/>
          <w:bCs/>
        </w:rPr>
        <w:t xml:space="preserve"> </w:t>
      </w:r>
      <w:r w:rsidR="00492961" w:rsidRPr="008C0276">
        <w:rPr>
          <w:rFonts w:ascii="Arial" w:hAnsi="Arial" w:cs="Arial"/>
        </w:rPr>
        <w:t>The instructor of record has full responsibility for all aspects of the development and delivery of the course, and determination of final grades for the students.</w:t>
      </w:r>
      <w:r w:rsidR="00174B5A" w:rsidRPr="008C0276">
        <w:rPr>
          <w:rFonts w:ascii="Arial" w:hAnsi="Arial" w:cs="Arial"/>
        </w:rPr>
        <w:t xml:space="preserve"> </w:t>
      </w:r>
      <w:r w:rsidRPr="008C0276">
        <w:rPr>
          <w:rFonts w:ascii="Arial" w:hAnsi="Arial" w:cs="Arial"/>
        </w:rPr>
        <w:t>The official instructor of record must be assigned for each academic credit course by the first day of classes of each term.</w:t>
      </w:r>
      <w:r w:rsidR="00174B5A" w:rsidRPr="008C0276">
        <w:rPr>
          <w:rFonts w:ascii="Arial" w:hAnsi="Arial" w:cs="Arial"/>
        </w:rPr>
        <w:t xml:space="preserve"> </w:t>
      </w:r>
      <w:r w:rsidRPr="008C0276">
        <w:rPr>
          <w:rFonts w:ascii="Arial" w:hAnsi="Arial" w:cs="Arial"/>
        </w:rPr>
        <w:t>Any exceptions must be approved by the dean who must ensure that the instructor of record is assigned by the third day of class in each term.</w:t>
      </w:r>
    </w:p>
    <w:p w:rsidR="000964ED" w:rsidRPr="001460D0" w:rsidRDefault="000964ED" w:rsidP="00E52781">
      <w:pPr>
        <w:pStyle w:val="Default"/>
        <w:numPr>
          <w:ilvl w:val="0"/>
          <w:numId w:val="1"/>
        </w:numPr>
        <w:spacing w:after="200"/>
        <w:ind w:left="2520" w:hanging="364"/>
        <w:rPr>
          <w:rFonts w:ascii="Arial" w:hAnsi="Arial" w:cs="Arial"/>
        </w:rPr>
      </w:pPr>
      <w:r w:rsidRPr="001460D0">
        <w:rPr>
          <w:rFonts w:ascii="Arial" w:hAnsi="Arial" w:cs="Arial"/>
          <w:bCs/>
        </w:rPr>
        <w:t>Secondary Instructor(s).</w:t>
      </w:r>
      <w:r w:rsidRPr="001460D0">
        <w:rPr>
          <w:rFonts w:ascii="Arial" w:hAnsi="Arial" w:cs="Arial"/>
          <w:b/>
          <w:bCs/>
        </w:rPr>
        <w:t xml:space="preserve"> </w:t>
      </w:r>
      <w:r w:rsidRPr="001460D0">
        <w:rPr>
          <w:rFonts w:ascii="Arial" w:hAnsi="Arial" w:cs="Arial"/>
        </w:rPr>
        <w:t xml:space="preserve">In the case of </w:t>
      </w:r>
      <w:r w:rsidR="001E10A5">
        <w:rPr>
          <w:rFonts w:ascii="Arial" w:hAnsi="Arial" w:cs="Arial"/>
        </w:rPr>
        <w:t xml:space="preserve">multiple </w:t>
      </w:r>
      <w:r w:rsidRPr="001460D0">
        <w:rPr>
          <w:rFonts w:ascii="Arial" w:hAnsi="Arial" w:cs="Arial"/>
        </w:rPr>
        <w:t xml:space="preserve">instructors being assigned to teach a course, one instructor </w:t>
      </w:r>
      <w:r w:rsidR="001E10A5">
        <w:rPr>
          <w:rFonts w:ascii="Arial" w:hAnsi="Arial" w:cs="Arial"/>
        </w:rPr>
        <w:t>may</w:t>
      </w:r>
      <w:r w:rsidRPr="001460D0">
        <w:rPr>
          <w:rFonts w:ascii="Arial" w:hAnsi="Arial" w:cs="Arial"/>
        </w:rPr>
        <w:t xml:space="preserve"> be designated the instructor of record and the others as secondary instructors.</w:t>
      </w:r>
      <w:r w:rsidR="00174B5A">
        <w:rPr>
          <w:rFonts w:ascii="Arial" w:hAnsi="Arial" w:cs="Arial"/>
        </w:rPr>
        <w:t xml:space="preserve"> </w:t>
      </w:r>
      <w:r w:rsidRPr="001460D0">
        <w:rPr>
          <w:rFonts w:ascii="Arial" w:hAnsi="Arial" w:cs="Arial"/>
        </w:rPr>
        <w:t>Secondary instructors provide support to the instructor of record and may teach lectures and/or laboratories, grade papers or provide other support functions.</w:t>
      </w:r>
      <w:r w:rsidR="00174B5A">
        <w:rPr>
          <w:rFonts w:ascii="Arial" w:hAnsi="Arial" w:cs="Arial"/>
        </w:rPr>
        <w:t xml:space="preserve"> </w:t>
      </w:r>
    </w:p>
    <w:p w:rsidR="000964ED" w:rsidRPr="001460D0" w:rsidRDefault="000964ED" w:rsidP="00E52781">
      <w:pPr>
        <w:spacing w:after="200" w:line="240" w:lineRule="auto"/>
        <w:ind w:left="2520"/>
      </w:pPr>
      <w:r w:rsidRPr="001460D0">
        <w:t>When there is an instructor of record and one or more secondary instructors assigned to a course, it is the responsibility of the department chair each semester to ensure that all instructors have a complete understanding of their roles and responsibilities.</w:t>
      </w:r>
      <w:r w:rsidR="00174B5A">
        <w:t xml:space="preserve"> </w:t>
      </w:r>
    </w:p>
    <w:p w:rsidR="004506B1" w:rsidRPr="001460D0" w:rsidDel="00CF6676" w:rsidRDefault="00CF6676" w:rsidP="00932906">
      <w:pPr>
        <w:spacing w:after="200" w:line="240" w:lineRule="auto"/>
        <w:ind w:left="2160" w:hanging="360"/>
      </w:pPr>
      <w:r>
        <w:t>B</w:t>
      </w:r>
      <w:r w:rsidR="004506B1" w:rsidRPr="001460D0" w:rsidDel="00CF6676">
        <w:t>.</w:t>
      </w:r>
      <w:r w:rsidR="004506B1">
        <w:tab/>
      </w:r>
      <w:r w:rsidR="004506B1" w:rsidRPr="001460D0" w:rsidDel="00CF6676">
        <w:t>Documentation of Credentials. All documentation related to faculty credentials</w:t>
      </w:r>
      <w:r w:rsidR="004506B1">
        <w:t xml:space="preserve">, including official transcripts for all degrees and </w:t>
      </w:r>
      <w:proofErr w:type="gramStart"/>
      <w:r w:rsidR="004506B1">
        <w:t>coursework,</w:t>
      </w:r>
      <w:proofErr w:type="gramEnd"/>
      <w:r w:rsidR="004506B1" w:rsidRPr="001460D0" w:rsidDel="00CF6676">
        <w:t xml:space="preserve"> are housed in the faculty member’s personnel file</w:t>
      </w:r>
      <w:r w:rsidR="006045E2">
        <w:t>.</w:t>
      </w:r>
      <w:r w:rsidR="006045E2" w:rsidRPr="006045E2">
        <w:t xml:space="preserve"> </w:t>
      </w:r>
      <w:r w:rsidR="006045E2">
        <w:t>Digital personnel files with appropriate security and backup measure</w:t>
      </w:r>
      <w:r w:rsidR="00D40EFF">
        <w:t>s</w:t>
      </w:r>
      <w:r w:rsidR="006045E2">
        <w:t xml:space="preserve"> are encouraged, but personnel files may be in paper format if desired</w:t>
      </w:r>
      <w:r w:rsidR="004506B1" w:rsidRPr="001460D0" w:rsidDel="00CF6676">
        <w:t xml:space="preserve">. </w:t>
      </w:r>
      <w:r w:rsidR="004506B1" w:rsidDel="00CF6676">
        <w:t>F</w:t>
      </w:r>
      <w:r w:rsidR="004506B1" w:rsidRPr="001460D0" w:rsidDel="00CF6676">
        <w:t xml:space="preserve">aculty personnel files are housed in the Office of the Provost for full-time faculty and in the </w:t>
      </w:r>
      <w:r w:rsidR="00E879E1">
        <w:t>appropriate d</w:t>
      </w:r>
      <w:r w:rsidR="004506B1" w:rsidRPr="001460D0" w:rsidDel="00CF6676">
        <w:t xml:space="preserve">ean’s </w:t>
      </w:r>
      <w:r w:rsidR="00E879E1">
        <w:t>o</w:t>
      </w:r>
      <w:r w:rsidR="004506B1" w:rsidRPr="001460D0" w:rsidDel="00CF6676">
        <w:t>ffice for part-time faculty</w:t>
      </w:r>
      <w:r w:rsidR="004506B1" w:rsidRPr="001460D0">
        <w:t xml:space="preserve">. </w:t>
      </w:r>
      <w:r w:rsidR="004506B1">
        <w:t xml:space="preserve">A summary of this information, documented on the </w:t>
      </w:r>
      <w:r w:rsidR="004506B1" w:rsidRPr="001460D0" w:rsidDel="00CF6676">
        <w:t>signed Faculty</w:t>
      </w:r>
      <w:r w:rsidR="004506B1" w:rsidDel="00CF6676">
        <w:t xml:space="preserve"> Hiring and</w:t>
      </w:r>
      <w:r w:rsidR="004506B1" w:rsidRPr="001460D0" w:rsidDel="00CF6676">
        <w:t xml:space="preserve"> Credentials </w:t>
      </w:r>
      <w:r w:rsidR="004506B1" w:rsidDel="00CF6676">
        <w:t>f</w:t>
      </w:r>
      <w:r w:rsidR="004506B1" w:rsidRPr="001460D0" w:rsidDel="00CF6676">
        <w:t>orm from Appendix B</w:t>
      </w:r>
      <w:r w:rsidR="00966439">
        <w:t xml:space="preserve"> </w:t>
      </w:r>
      <w:r w:rsidR="00966439">
        <w:lastRenderedPageBreak/>
        <w:t xml:space="preserve">and </w:t>
      </w:r>
      <w:r w:rsidR="00D40EFF">
        <w:t xml:space="preserve">usually </w:t>
      </w:r>
      <w:r w:rsidR="00966439">
        <w:t>completed during the hiring process</w:t>
      </w:r>
      <w:r w:rsidR="004506B1">
        <w:t>,</w:t>
      </w:r>
      <w:r w:rsidR="004506B1" w:rsidRPr="001460D0" w:rsidDel="00CF6676">
        <w:t xml:space="preserve"> </w:t>
      </w:r>
      <w:r w:rsidR="004506B1">
        <w:t>must be</w:t>
      </w:r>
      <w:r w:rsidR="004506B1" w:rsidRPr="001460D0" w:rsidDel="00CF6676">
        <w:t xml:space="preserve"> sent to OIRA</w:t>
      </w:r>
      <w:r w:rsidR="00871194">
        <w:t xml:space="preserve"> for the Faculty Credentials database</w:t>
      </w:r>
      <w:r w:rsidR="004506B1" w:rsidRPr="001460D0" w:rsidDel="00CF6676">
        <w:t xml:space="preserve">. </w:t>
      </w:r>
    </w:p>
    <w:p w:rsidR="004506B1" w:rsidRPr="001460D0" w:rsidDel="00CF6676" w:rsidRDefault="004506B1" w:rsidP="005D095D">
      <w:pPr>
        <w:spacing w:after="200" w:line="240" w:lineRule="auto"/>
        <w:ind w:left="2520" w:hanging="360"/>
      </w:pPr>
      <w:r>
        <w:t>1</w:t>
      </w:r>
      <w:r w:rsidRPr="001460D0" w:rsidDel="00CF6676">
        <w:t>.</w:t>
      </w:r>
      <w:r>
        <w:tab/>
      </w:r>
      <w:r w:rsidRPr="001460D0" w:rsidDel="00CF6676">
        <w:t xml:space="preserve">Non-US Institutions. Transcripts from non-US institutions may need to be submitted to a professional transcript evaluation service before being used in the credentialing process. Both the original transcript from the institution and the transcript evaluation </w:t>
      </w:r>
      <w:r w:rsidR="00A54A8E">
        <w:t xml:space="preserve">are </w:t>
      </w:r>
      <w:r w:rsidRPr="001460D0" w:rsidDel="00CF6676">
        <w:t>included in the faculty member’s personnel file.</w:t>
      </w:r>
      <w:r w:rsidR="00174B5A">
        <w:t xml:space="preserve"> </w:t>
      </w:r>
    </w:p>
    <w:p w:rsidR="004506B1" w:rsidRPr="001460D0" w:rsidDel="00CF6676" w:rsidRDefault="004506B1" w:rsidP="00932906">
      <w:pPr>
        <w:spacing w:after="200" w:line="240" w:lineRule="auto"/>
        <w:ind w:left="2520" w:hanging="360"/>
      </w:pPr>
      <w:r>
        <w:t>2</w:t>
      </w:r>
      <w:r w:rsidRPr="001460D0" w:rsidDel="00CF6676">
        <w:t>.</w:t>
      </w:r>
      <w:r w:rsidRPr="001460D0" w:rsidDel="00CF6676">
        <w:tab/>
        <w:t xml:space="preserve">Graduate Status: Verification of graduate faculty status, as recommended by the Graduate Council and approved by the Dean of Graduate Studies, is required to be instructor of record for graduate and post-baccalaureate coursework, including 400/500, 500, 600, and 700 level courses. </w:t>
      </w:r>
    </w:p>
    <w:p w:rsidR="004506B1" w:rsidRPr="001460D0" w:rsidRDefault="004506B1" w:rsidP="004506B1">
      <w:pPr>
        <w:spacing w:after="200" w:line="240" w:lineRule="auto"/>
        <w:ind w:left="2520" w:hanging="360"/>
      </w:pPr>
      <w:r>
        <w:t>3</w:t>
      </w:r>
      <w:r w:rsidRPr="001460D0">
        <w:t>.</w:t>
      </w:r>
      <w:r>
        <w:tab/>
      </w:r>
      <w:r w:rsidRPr="001460D0">
        <w:t>Field in which the Credential is Held.</w:t>
      </w:r>
      <w:r w:rsidR="00174B5A">
        <w:t xml:space="preserve"> </w:t>
      </w:r>
      <w:r w:rsidRPr="001460D0">
        <w:t>The faculty representing the program that offers courses with a given prefix are responsible for determining the fields in which a terminal degree is held, or in which graduate hours have been completed, that are appropriate for teaching a course with that prefix.</w:t>
      </w:r>
      <w:r w:rsidR="00174B5A">
        <w:t xml:space="preserve"> </w:t>
      </w:r>
      <w:r w:rsidRPr="001460D0">
        <w:t>The chair and dean must reach consensus with the faculty.</w:t>
      </w:r>
      <w:r w:rsidR="00174B5A">
        <w:t xml:space="preserve"> </w:t>
      </w:r>
      <w:r w:rsidRPr="001460D0">
        <w:t>If there is disagreement, the provost will decide the appropriateness of the terminal degree or graduate hours completed for the course being taught.</w:t>
      </w:r>
    </w:p>
    <w:p w:rsidR="001873BE" w:rsidRDefault="001873BE" w:rsidP="00376BA2">
      <w:pPr>
        <w:spacing w:after="200" w:line="240" w:lineRule="auto"/>
        <w:ind w:left="2520" w:hanging="360"/>
      </w:pPr>
      <w:r>
        <w:t>4.</w:t>
      </w:r>
      <w:r>
        <w:tab/>
      </w:r>
      <w:r w:rsidRPr="00301BD9">
        <w:t xml:space="preserve">Database. Justification and documentation of qualifications for </w:t>
      </w:r>
      <w:r w:rsidR="006A6500" w:rsidRPr="00301BD9">
        <w:t xml:space="preserve">full-time and part-time </w:t>
      </w:r>
      <w:r w:rsidRPr="00301BD9">
        <w:t xml:space="preserve">faculty </w:t>
      </w:r>
      <w:r w:rsidR="006A6500" w:rsidRPr="00301BD9">
        <w:t xml:space="preserve">and GTAs </w:t>
      </w:r>
      <w:r w:rsidRPr="00301BD9">
        <w:t xml:space="preserve">must be recorded in the Faculty Credentials Database. </w:t>
      </w:r>
      <w:r w:rsidR="00301BD9" w:rsidRPr="00301BD9">
        <w:t>F</w:t>
      </w:r>
      <w:r w:rsidR="00C85F77" w:rsidRPr="00301BD9">
        <w:t>or new faculty</w:t>
      </w:r>
      <w:r w:rsidR="00301BD9" w:rsidRPr="00301BD9">
        <w:t xml:space="preserve">, this </w:t>
      </w:r>
      <w:r w:rsidRPr="00301BD9">
        <w:t>is required</w:t>
      </w:r>
      <w:r w:rsidR="00376BA2" w:rsidRPr="00301BD9">
        <w:t xml:space="preserve"> as part of the hiring process </w:t>
      </w:r>
      <w:r w:rsidRPr="00301BD9">
        <w:t>on the Faculty Hiring and Credentials form given in Appendix B</w:t>
      </w:r>
      <w:r w:rsidR="00376BA2" w:rsidRPr="00301BD9">
        <w:t>. T</w:t>
      </w:r>
      <w:r w:rsidRPr="00301BD9">
        <w:t>his form</w:t>
      </w:r>
      <w:r w:rsidR="00376BA2" w:rsidRPr="00301BD9">
        <w:t xml:space="preserve"> must be completed and submitted by the faculty member for full-time faculty, by the department chair for part-time faculty, or by the supervising faculty for GTAs</w:t>
      </w:r>
      <w:r w:rsidRPr="00301BD9">
        <w:t xml:space="preserve">. </w:t>
      </w:r>
      <w:r w:rsidR="00301BD9" w:rsidRPr="00301BD9">
        <w:t xml:space="preserve">For faculty employed after July 2015, this form must also </w:t>
      </w:r>
      <w:r w:rsidR="00A13D75">
        <w:t xml:space="preserve">be </w:t>
      </w:r>
      <w:r w:rsidR="00301BD9" w:rsidRPr="00301BD9">
        <w:t xml:space="preserve">completed to document their credentials. </w:t>
      </w:r>
      <w:proofErr w:type="gramStart"/>
      <w:r w:rsidRPr="00301BD9">
        <w:t>For faculty members employed during the 2014-2015 academic year and before, the information from the 2016 Reaffirmation of Accreditation 3.7.1.</w:t>
      </w:r>
      <w:proofErr w:type="gramEnd"/>
      <w:r w:rsidRPr="00301BD9">
        <w:t xml:space="preserve"> </w:t>
      </w:r>
      <w:proofErr w:type="gramStart"/>
      <w:r w:rsidRPr="00301BD9">
        <w:t>documentation</w:t>
      </w:r>
      <w:proofErr w:type="gramEnd"/>
      <w:r w:rsidRPr="00301BD9">
        <w:t xml:space="preserve"> will be used in lieu of Form B. If additional information is needed, a request will be made to the faculty member for the information</w:t>
      </w:r>
      <w:r w:rsidR="00E97379">
        <w:t>.</w:t>
      </w:r>
    </w:p>
    <w:p w:rsidR="00D5069F" w:rsidRPr="001460D0" w:rsidRDefault="004506B1" w:rsidP="004506B1">
      <w:pPr>
        <w:spacing w:after="200" w:line="240" w:lineRule="auto"/>
        <w:ind w:left="2160" w:hanging="360"/>
        <w:rPr>
          <w:rFonts w:eastAsia="Times New Roman"/>
        </w:rPr>
      </w:pPr>
      <w:r>
        <w:rPr>
          <w:rFonts w:eastAsia="Calibri"/>
        </w:rPr>
        <w:t>C</w:t>
      </w:r>
      <w:r w:rsidR="00766605">
        <w:rPr>
          <w:rFonts w:eastAsia="Calibri"/>
        </w:rPr>
        <w:t>.</w:t>
      </w:r>
      <w:r>
        <w:rPr>
          <w:rFonts w:eastAsia="Calibri"/>
        </w:rPr>
        <w:tab/>
      </w:r>
      <w:r w:rsidR="0094263D" w:rsidRPr="00A55001">
        <w:rPr>
          <w:rFonts w:eastAsia="Calibri"/>
        </w:rPr>
        <w:t>Credential</w:t>
      </w:r>
      <w:r>
        <w:rPr>
          <w:rFonts w:eastAsia="Calibri"/>
        </w:rPr>
        <w:t xml:space="preserve"> Level</w:t>
      </w:r>
      <w:r w:rsidR="0094263D" w:rsidRPr="00A55001">
        <w:rPr>
          <w:rFonts w:eastAsia="Calibri"/>
        </w:rPr>
        <w:t>s</w:t>
      </w:r>
      <w:r w:rsidR="00765B99">
        <w:rPr>
          <w:rFonts w:eastAsia="Calibri"/>
        </w:rPr>
        <w:t>.</w:t>
      </w:r>
      <w:r w:rsidR="00174B5A">
        <w:rPr>
          <w:rFonts w:eastAsia="Calibri"/>
        </w:rPr>
        <w:t xml:space="preserve"> </w:t>
      </w:r>
      <w:r w:rsidR="00D5069F" w:rsidRPr="00A55001">
        <w:rPr>
          <w:rFonts w:eastAsia="Calibri"/>
        </w:rPr>
        <w:t>Credentials</w:t>
      </w:r>
      <w:r w:rsidR="0042288D">
        <w:rPr>
          <w:rFonts w:eastAsia="Calibri"/>
        </w:rPr>
        <w:t xml:space="preserve"> based on</w:t>
      </w:r>
      <w:r w:rsidR="00652D0D">
        <w:rPr>
          <w:rFonts w:eastAsia="Calibri"/>
        </w:rPr>
        <w:t xml:space="preserve"> SACSCOC in the </w:t>
      </w:r>
      <w:r w:rsidR="00652D0D" w:rsidRPr="001460D0">
        <w:rPr>
          <w:rFonts w:eastAsia="Calibri"/>
          <w:i/>
        </w:rPr>
        <w:t>SACS</w:t>
      </w:r>
      <w:r w:rsidR="00437FCE">
        <w:rPr>
          <w:rFonts w:eastAsia="Calibri"/>
          <w:i/>
        </w:rPr>
        <w:t>C</w:t>
      </w:r>
      <w:r w:rsidR="00652D0D" w:rsidRPr="001460D0">
        <w:rPr>
          <w:rFonts w:eastAsia="Calibri"/>
          <w:i/>
        </w:rPr>
        <w:t>OC Guidelines Faculty Credentials</w:t>
      </w:r>
      <w:r w:rsidR="00D5069F" w:rsidRPr="00A55001">
        <w:rPr>
          <w:rFonts w:eastAsia="Calibri"/>
        </w:rPr>
        <w:t xml:space="preserve"> </w:t>
      </w:r>
      <w:r w:rsidR="0042288D">
        <w:rPr>
          <w:rFonts w:eastAsia="Calibri"/>
        </w:rPr>
        <w:t xml:space="preserve">given in Appendix </w:t>
      </w:r>
      <w:proofErr w:type="gramStart"/>
      <w:r w:rsidR="0042288D">
        <w:rPr>
          <w:rFonts w:eastAsia="Calibri"/>
        </w:rPr>
        <w:t>A</w:t>
      </w:r>
      <w:proofErr w:type="gramEnd"/>
      <w:r w:rsidR="0042288D">
        <w:rPr>
          <w:rFonts w:eastAsia="Calibri"/>
        </w:rPr>
        <w:t xml:space="preserve"> </w:t>
      </w:r>
      <w:r w:rsidR="00D5069F" w:rsidRPr="00A55001">
        <w:rPr>
          <w:rFonts w:eastAsia="Calibri"/>
        </w:rPr>
        <w:t xml:space="preserve">are determined as follows: </w:t>
      </w:r>
    </w:p>
    <w:p w:rsidR="00652D0D" w:rsidRPr="001460D0" w:rsidRDefault="00D5069F" w:rsidP="004506B1">
      <w:pPr>
        <w:spacing w:after="200" w:line="240" w:lineRule="auto"/>
        <w:ind w:left="2520" w:hanging="360"/>
        <w:rPr>
          <w:rFonts w:eastAsia="Times New Roman"/>
        </w:rPr>
      </w:pPr>
      <w:r w:rsidRPr="00A55001">
        <w:rPr>
          <w:rFonts w:eastAsia="Calibri"/>
        </w:rPr>
        <w:t>1.</w:t>
      </w:r>
      <w:r w:rsidR="004506B1">
        <w:rPr>
          <w:rFonts w:eastAsia="Calibri"/>
        </w:rPr>
        <w:tab/>
      </w:r>
      <w:r w:rsidRPr="00A55001">
        <w:rPr>
          <w:rFonts w:eastAsia="Calibri"/>
        </w:rPr>
        <w:t>Undergraduate courses</w:t>
      </w:r>
      <w:r w:rsidR="00D761C1">
        <w:rPr>
          <w:rFonts w:eastAsia="Calibri"/>
        </w:rPr>
        <w:t>.</w:t>
      </w:r>
      <w:r w:rsidRPr="00A55001">
        <w:rPr>
          <w:rFonts w:eastAsia="Calibri"/>
        </w:rPr>
        <w:t xml:space="preserve"> The instructor of record must possess </w:t>
      </w:r>
      <w:r w:rsidR="00652D0D">
        <w:rPr>
          <w:rFonts w:eastAsia="Calibri"/>
        </w:rPr>
        <w:t>“</w:t>
      </w:r>
      <w:r w:rsidRPr="00A55001">
        <w:rPr>
          <w:rFonts w:eastAsia="Calibri"/>
        </w:rPr>
        <w:t>a doctorate or master’s degree in the teaching discipline</w:t>
      </w:r>
      <w:r w:rsidR="00800CAF">
        <w:rPr>
          <w:rFonts w:eastAsia="Calibri"/>
        </w:rPr>
        <w:t xml:space="preserve"> or</w:t>
      </w:r>
      <w:r w:rsidR="00800CAF" w:rsidRPr="00800CAF">
        <w:t xml:space="preserve"> </w:t>
      </w:r>
      <w:r w:rsidR="00800CAF">
        <w:rPr>
          <w:rFonts w:eastAsia="Calibri"/>
        </w:rPr>
        <w:t>a</w:t>
      </w:r>
      <w:r w:rsidR="00800CAF" w:rsidRPr="00800CAF">
        <w:rPr>
          <w:rFonts w:eastAsia="Calibri"/>
        </w:rPr>
        <w:t xml:space="preserve"> master’s degree with a concentration in the teaching discipline </w:t>
      </w:r>
      <w:r w:rsidR="00652D0D">
        <w:rPr>
          <w:rFonts w:eastAsia="Calibri"/>
        </w:rPr>
        <w:lastRenderedPageBreak/>
        <w:t>(</w:t>
      </w:r>
      <w:r w:rsidR="00800CAF" w:rsidRPr="00800CAF">
        <w:rPr>
          <w:rFonts w:eastAsia="Calibri"/>
        </w:rPr>
        <w:t>a minimum of 18 graduate semester hours in the teaching discipline</w:t>
      </w:r>
      <w:r w:rsidR="00652D0D">
        <w:rPr>
          <w:rFonts w:eastAsia="Calibri"/>
        </w:rPr>
        <w:t>)</w:t>
      </w:r>
      <w:r w:rsidR="00800CAF">
        <w:rPr>
          <w:rFonts w:eastAsia="Calibri"/>
        </w:rPr>
        <w:t>.</w:t>
      </w:r>
      <w:r w:rsidR="00652D0D">
        <w:rPr>
          <w:rFonts w:eastAsia="Calibri"/>
        </w:rPr>
        <w:t xml:space="preserve">” </w:t>
      </w:r>
      <w:r w:rsidR="00B00EF3">
        <w:rPr>
          <w:rFonts w:eastAsia="Calibri"/>
        </w:rPr>
        <w:t>This applies to courses at the 100</w:t>
      </w:r>
      <w:r w:rsidR="00D32FFC">
        <w:rPr>
          <w:rFonts w:eastAsia="Calibri"/>
        </w:rPr>
        <w:t xml:space="preserve">, 200, 300 and 400 </w:t>
      </w:r>
      <w:proofErr w:type="gramStart"/>
      <w:r w:rsidR="00D32FFC">
        <w:rPr>
          <w:rFonts w:eastAsia="Calibri"/>
        </w:rPr>
        <w:t>level</w:t>
      </w:r>
      <w:proofErr w:type="gramEnd"/>
      <w:r w:rsidR="00B00EF3">
        <w:rPr>
          <w:rFonts w:eastAsia="Calibri"/>
        </w:rPr>
        <w:t>.</w:t>
      </w:r>
    </w:p>
    <w:p w:rsidR="00D5069F" w:rsidRDefault="00D5069F" w:rsidP="00ED4906">
      <w:pPr>
        <w:spacing w:after="200" w:line="240" w:lineRule="auto"/>
        <w:ind w:left="2520" w:hanging="360"/>
        <w:rPr>
          <w:rFonts w:eastAsia="Times New Roman"/>
        </w:rPr>
      </w:pPr>
      <w:r w:rsidRPr="00A55001">
        <w:rPr>
          <w:rFonts w:eastAsia="Calibri"/>
        </w:rPr>
        <w:t>2.</w:t>
      </w:r>
      <w:r w:rsidR="004506B1">
        <w:rPr>
          <w:rFonts w:eastAsia="Calibri"/>
        </w:rPr>
        <w:tab/>
      </w:r>
      <w:r w:rsidRPr="00A55001">
        <w:rPr>
          <w:rFonts w:eastAsia="Calibri"/>
        </w:rPr>
        <w:t>Graduate and post-baccalaureate courses</w:t>
      </w:r>
      <w:r w:rsidR="00D761C1">
        <w:rPr>
          <w:rFonts w:eastAsia="Calibri"/>
        </w:rPr>
        <w:t>.</w:t>
      </w:r>
      <w:r w:rsidRPr="00A55001">
        <w:rPr>
          <w:rFonts w:eastAsia="Calibri"/>
        </w:rPr>
        <w:t xml:space="preserve"> The instructor of record must possess an </w:t>
      </w:r>
      <w:r w:rsidR="00652D0D">
        <w:rPr>
          <w:rFonts w:eastAsia="Calibri"/>
        </w:rPr>
        <w:t>“</w:t>
      </w:r>
      <w:r w:rsidRPr="00A55001">
        <w:rPr>
          <w:rFonts w:eastAsia="Calibri"/>
        </w:rPr>
        <w:t>earned doctorate/terminal degree in the teaching discipline</w:t>
      </w:r>
      <w:r w:rsidR="00800CAF">
        <w:rPr>
          <w:rFonts w:eastAsia="Calibri"/>
        </w:rPr>
        <w:t xml:space="preserve"> or a related discipline</w:t>
      </w:r>
      <w:r w:rsidR="00652D0D">
        <w:rPr>
          <w:rFonts w:eastAsia="Calibri"/>
        </w:rPr>
        <w:t>”</w:t>
      </w:r>
      <w:r w:rsidRPr="00A55001">
        <w:rPr>
          <w:rFonts w:eastAsia="Calibri"/>
        </w:rPr>
        <w:t xml:space="preserve"> </w:t>
      </w:r>
      <w:r w:rsidR="0043357B">
        <w:rPr>
          <w:rFonts w:eastAsia="Calibri"/>
        </w:rPr>
        <w:t xml:space="preserve">and </w:t>
      </w:r>
      <w:r w:rsidR="0043357B">
        <w:rPr>
          <w:rFonts w:eastAsia="Times New Roman"/>
        </w:rPr>
        <w:t>g</w:t>
      </w:r>
      <w:r w:rsidR="00C113A7" w:rsidRPr="00C113A7">
        <w:rPr>
          <w:rFonts w:eastAsia="Times New Roman"/>
        </w:rPr>
        <w:t>raduate faculty status, as recommended by the Graduate Council and approved by the Dean</w:t>
      </w:r>
      <w:r w:rsidR="00D40EFF">
        <w:rPr>
          <w:rFonts w:eastAsia="Times New Roman"/>
        </w:rPr>
        <w:t xml:space="preserve"> of Graduate Studies</w:t>
      </w:r>
      <w:r w:rsidR="0043357B">
        <w:rPr>
          <w:rFonts w:eastAsia="Times New Roman"/>
        </w:rPr>
        <w:t xml:space="preserve">. </w:t>
      </w:r>
      <w:r w:rsidR="00C113A7" w:rsidRPr="00C113A7">
        <w:rPr>
          <w:rFonts w:eastAsia="Times New Roman"/>
        </w:rPr>
        <w:t>The status must be valid for the entire semester/term in which the course is taught.</w:t>
      </w:r>
      <w:r w:rsidR="0043357B" w:rsidRPr="00C113A7">
        <w:rPr>
          <w:rFonts w:eastAsia="Times New Roman"/>
        </w:rPr>
        <w:t xml:space="preserve"> </w:t>
      </w:r>
      <w:r w:rsidR="00C85F77">
        <w:rPr>
          <w:rFonts w:eastAsia="Times New Roman"/>
        </w:rPr>
        <w:t>The requirement of graduate facu</w:t>
      </w:r>
      <w:r w:rsidR="005C4964">
        <w:rPr>
          <w:rFonts w:eastAsia="Times New Roman"/>
        </w:rPr>
        <w:t>l</w:t>
      </w:r>
      <w:r w:rsidR="00C85F77">
        <w:rPr>
          <w:rFonts w:eastAsia="Times New Roman"/>
        </w:rPr>
        <w:t xml:space="preserve">ty status </w:t>
      </w:r>
      <w:r w:rsidR="0043357B">
        <w:rPr>
          <w:rFonts w:eastAsia="Times New Roman"/>
        </w:rPr>
        <w:t xml:space="preserve">applies to 400/500 level cross-listed courses and </w:t>
      </w:r>
      <w:r w:rsidR="0043357B" w:rsidRPr="00C113A7">
        <w:rPr>
          <w:rFonts w:eastAsia="Times New Roman"/>
        </w:rPr>
        <w:t>500, 600, and 700 level courses.</w:t>
      </w:r>
      <w:r w:rsidR="00174B5A">
        <w:rPr>
          <w:rFonts w:eastAsia="Times New Roman"/>
        </w:rPr>
        <w:t xml:space="preserve"> </w:t>
      </w:r>
    </w:p>
    <w:p w:rsidR="00437FCE" w:rsidRPr="001460D0" w:rsidRDefault="0042288D" w:rsidP="00ED4906">
      <w:pPr>
        <w:spacing w:after="200" w:line="240" w:lineRule="auto"/>
        <w:ind w:left="2520" w:hanging="360"/>
      </w:pPr>
      <w:r>
        <w:rPr>
          <w:rFonts w:eastAsia="Calibri"/>
        </w:rPr>
        <w:t>3.</w:t>
      </w:r>
      <w:r w:rsidR="004506B1">
        <w:rPr>
          <w:rFonts w:eastAsia="Calibri"/>
        </w:rPr>
        <w:tab/>
      </w:r>
      <w:r w:rsidRPr="0042288D">
        <w:rPr>
          <w:rFonts w:eastAsia="Calibri"/>
        </w:rPr>
        <w:t>Graduate Teaching Assistants as Instructors of Record.</w:t>
      </w:r>
      <w:r w:rsidR="00174B5A">
        <w:rPr>
          <w:rFonts w:eastAsia="Calibri"/>
        </w:rPr>
        <w:t xml:space="preserve"> </w:t>
      </w:r>
      <w:r w:rsidRPr="0042288D">
        <w:rPr>
          <w:rFonts w:eastAsia="Calibri"/>
        </w:rPr>
        <w:t xml:space="preserve">GTAs may serve as instructors of record for undergraduate courses if they have a “master’s in the teaching </w:t>
      </w:r>
      <w:r w:rsidR="006A6500" w:rsidRPr="0042288D">
        <w:rPr>
          <w:rFonts w:eastAsia="Calibri"/>
        </w:rPr>
        <w:t>discipline</w:t>
      </w:r>
      <w:r w:rsidR="006A6500">
        <w:rPr>
          <w:rFonts w:eastAsia="Calibri"/>
        </w:rPr>
        <w:t xml:space="preserve"> or</w:t>
      </w:r>
      <w:r w:rsidR="00174B5A">
        <w:rPr>
          <w:rFonts w:eastAsia="Calibri"/>
        </w:rPr>
        <w:t xml:space="preserve"> </w:t>
      </w:r>
      <w:r w:rsidRPr="0042288D">
        <w:rPr>
          <w:rFonts w:eastAsia="Calibri"/>
        </w:rPr>
        <w:t xml:space="preserve">at least “18 graduate </w:t>
      </w:r>
      <w:r w:rsidRPr="001460D0">
        <w:rPr>
          <w:rFonts w:eastAsia="Calibri"/>
        </w:rPr>
        <w:t xml:space="preserve">semester hours in the teaching discipline” </w:t>
      </w:r>
      <w:r w:rsidR="00753B6D">
        <w:rPr>
          <w:rFonts w:eastAsia="Calibri"/>
        </w:rPr>
        <w:t>with</w:t>
      </w:r>
      <w:r w:rsidR="00174B5A">
        <w:rPr>
          <w:rFonts w:eastAsia="Calibri"/>
        </w:rPr>
        <w:t xml:space="preserve"> </w:t>
      </w:r>
      <w:r w:rsidRPr="001460D0">
        <w:rPr>
          <w:rFonts w:eastAsia="Calibri"/>
        </w:rPr>
        <w:t xml:space="preserve">“direct supervision by a faculty member experienced in the teaching discipline, regular in-service training, and planned and periodic evaluations.” </w:t>
      </w:r>
      <w:r w:rsidR="00686F9C" w:rsidRPr="00E52781">
        <w:t>For GTAs with 18 hours, documentation regarding their supervision, training and evaluation must be maintained for each semester</w:t>
      </w:r>
      <w:r w:rsidR="006A6500" w:rsidRPr="00E52781">
        <w:t xml:space="preserve"> with </w:t>
      </w:r>
      <w:r w:rsidR="00686F9C" w:rsidRPr="00E52781">
        <w:t xml:space="preserve">the </w:t>
      </w:r>
      <w:r w:rsidR="00E879E1" w:rsidRPr="00E52781">
        <w:t>appropriate c</w:t>
      </w:r>
      <w:r w:rsidR="00686F9C" w:rsidRPr="00E52781">
        <w:t>oll</w:t>
      </w:r>
      <w:r w:rsidR="006A6500" w:rsidRPr="00E52781">
        <w:t xml:space="preserve">ege </w:t>
      </w:r>
      <w:r w:rsidR="00E879E1" w:rsidRPr="00E52781">
        <w:t>d</w:t>
      </w:r>
      <w:r w:rsidR="006A6500" w:rsidRPr="00E52781">
        <w:t xml:space="preserve">ean or </w:t>
      </w:r>
      <w:r w:rsidR="00E879E1" w:rsidRPr="00E52781">
        <w:t xml:space="preserve">with the Dean of </w:t>
      </w:r>
      <w:r w:rsidR="006A6500" w:rsidRPr="00E52781">
        <w:t xml:space="preserve">Graduate </w:t>
      </w:r>
      <w:r w:rsidR="00E879E1" w:rsidRPr="00E52781">
        <w:t>Studies</w:t>
      </w:r>
      <w:r w:rsidR="00686F9C" w:rsidRPr="00E52781">
        <w:t xml:space="preserve">. </w:t>
      </w:r>
      <w:r w:rsidRPr="00E52781">
        <w:rPr>
          <w:rFonts w:eastAsia="Calibri"/>
        </w:rPr>
        <w:t>GTAs cannot serve as instructors of record for graduate level courses, regardless of qualifications.</w:t>
      </w:r>
      <w:r w:rsidR="00437FCE" w:rsidRPr="001460D0">
        <w:t xml:space="preserve"> </w:t>
      </w:r>
    </w:p>
    <w:p w:rsidR="00437FCE" w:rsidRPr="007345DA" w:rsidRDefault="00437FCE" w:rsidP="00ED4906">
      <w:pPr>
        <w:spacing w:after="200" w:line="240" w:lineRule="auto"/>
        <w:ind w:left="2520" w:hanging="360"/>
      </w:pPr>
      <w:r w:rsidRPr="001460D0">
        <w:t>4.</w:t>
      </w:r>
      <w:r w:rsidR="004506B1">
        <w:tab/>
      </w:r>
      <w:r w:rsidRPr="005D095D">
        <w:t>Alternative Certification through Commensurate Experience.</w:t>
      </w:r>
      <w:r w:rsidR="00174B5A" w:rsidRPr="005D095D">
        <w:t xml:space="preserve"> </w:t>
      </w:r>
      <w:r w:rsidRPr="005D095D">
        <w:t>An individual may be certified to teach courses at the undergraduate or graduate level based on commensurate experience in the same or related discipline.</w:t>
      </w:r>
      <w:r w:rsidR="00174B5A" w:rsidRPr="005D095D">
        <w:t xml:space="preserve"> </w:t>
      </w:r>
      <w:r w:rsidRPr="005D095D">
        <w:t>Professional certification, licensure, or documented record of professional practice may be utilized to evaluate commensurate experience.</w:t>
      </w:r>
      <w:r w:rsidR="00F05151" w:rsidRPr="005D095D">
        <w:t xml:space="preserve"> </w:t>
      </w:r>
      <w:r w:rsidR="00137459" w:rsidRPr="005D095D">
        <w:t>An individual credentialed to teach graduate courses based on experience in the field is also required to have a graduate degree</w:t>
      </w:r>
      <w:r w:rsidR="00C64861" w:rsidRPr="005D095D">
        <w:t>, although that degree may be in a different field.</w:t>
      </w:r>
      <w:r w:rsidR="00C64861" w:rsidRPr="007345DA">
        <w:t xml:space="preserve"> </w:t>
      </w:r>
      <w:r w:rsidR="00A928F5" w:rsidRPr="007345DA">
        <w:t xml:space="preserve"> </w:t>
      </w:r>
    </w:p>
    <w:p w:rsidR="00761332" w:rsidRPr="007345DA" w:rsidRDefault="0042288D" w:rsidP="005D095D">
      <w:pPr>
        <w:spacing w:after="200" w:line="240" w:lineRule="auto"/>
        <w:ind w:left="2160" w:hanging="360"/>
      </w:pPr>
      <w:r w:rsidRPr="007345DA">
        <w:t>D</w:t>
      </w:r>
      <w:r w:rsidR="005975BE" w:rsidRPr="007345DA">
        <w:t>.</w:t>
      </w:r>
      <w:r w:rsidR="00761332" w:rsidRPr="007345DA">
        <w:t xml:space="preserve"> Types of Credential</w:t>
      </w:r>
      <w:r w:rsidR="00436FEC" w:rsidRPr="007345DA">
        <w:t>.</w:t>
      </w:r>
      <w:r w:rsidR="00174B5A" w:rsidRPr="007345DA">
        <w:t xml:space="preserve"> </w:t>
      </w:r>
      <w:r w:rsidR="00761332" w:rsidRPr="007345DA">
        <w:t xml:space="preserve">One of the following three types of credentials is required for a faculty member (full or part-time) </w:t>
      </w:r>
      <w:r w:rsidR="00871194" w:rsidRPr="007345DA">
        <w:t xml:space="preserve">or GTA </w:t>
      </w:r>
      <w:r w:rsidR="00761332" w:rsidRPr="007345DA">
        <w:t xml:space="preserve">to </w:t>
      </w:r>
      <w:r w:rsidR="00932906" w:rsidRPr="007345DA">
        <w:t xml:space="preserve">be listed as an instructor of record </w:t>
      </w:r>
      <w:r w:rsidR="00925786" w:rsidRPr="007345DA">
        <w:t>f</w:t>
      </w:r>
      <w:r w:rsidR="00932906" w:rsidRPr="007345DA">
        <w:t xml:space="preserve">or </w:t>
      </w:r>
      <w:r w:rsidR="00761332" w:rsidRPr="007345DA">
        <w:t>a course.</w:t>
      </w:r>
      <w:r w:rsidR="00174B5A" w:rsidRPr="007345DA">
        <w:t xml:space="preserve"> </w:t>
      </w:r>
    </w:p>
    <w:p w:rsidR="00761332" w:rsidRPr="001460D0" w:rsidRDefault="005975BE" w:rsidP="005D095D">
      <w:pPr>
        <w:spacing w:after="200" w:line="240" w:lineRule="auto"/>
        <w:ind w:left="2520" w:hanging="364"/>
      </w:pPr>
      <w:r w:rsidRPr="007345DA">
        <w:t>1.</w:t>
      </w:r>
      <w:r w:rsidR="004506B1" w:rsidRPr="007345DA">
        <w:tab/>
      </w:r>
      <w:r w:rsidR="001F35E2" w:rsidRPr="007345DA">
        <w:t>Degrees</w:t>
      </w:r>
      <w:r w:rsidR="00D761C1" w:rsidRPr="007345DA">
        <w:t xml:space="preserve">. </w:t>
      </w:r>
      <w:r w:rsidR="005B5002" w:rsidRPr="007345DA">
        <w:t xml:space="preserve">If a completed </w:t>
      </w:r>
      <w:r w:rsidR="00761332" w:rsidRPr="007345DA">
        <w:t xml:space="preserve">terminal </w:t>
      </w:r>
      <w:r w:rsidR="005B5002" w:rsidRPr="007345DA">
        <w:t xml:space="preserve">or non-terminal graduate </w:t>
      </w:r>
      <w:r w:rsidR="00761332" w:rsidRPr="007345DA">
        <w:t>degree</w:t>
      </w:r>
      <w:r w:rsidR="00980963" w:rsidRPr="007345DA">
        <w:t xml:space="preserve"> </w:t>
      </w:r>
      <w:r w:rsidR="005B5002" w:rsidRPr="007345DA">
        <w:t>is utilized to</w:t>
      </w:r>
      <w:r w:rsidR="00382540" w:rsidRPr="007345DA">
        <w:t xml:space="preserve"> </w:t>
      </w:r>
      <w:r w:rsidR="00761332" w:rsidRPr="007345DA">
        <w:t>justify the hire or course assignment(s)</w:t>
      </w:r>
      <w:r w:rsidR="005B5002" w:rsidRPr="007345DA">
        <w:t xml:space="preserve">, the courses to be assigned and the related degrees must be documented on the </w:t>
      </w:r>
      <w:r w:rsidR="00FC02B1" w:rsidRPr="007345DA">
        <w:t xml:space="preserve">Faculty Hiring and Credentials </w:t>
      </w:r>
      <w:r w:rsidR="005B5002" w:rsidRPr="007345DA">
        <w:t>form</w:t>
      </w:r>
      <w:r w:rsidR="00D40EFF" w:rsidRPr="007345DA">
        <w:t xml:space="preserve"> (Appendix B)</w:t>
      </w:r>
      <w:r w:rsidR="005B5002" w:rsidRPr="007345DA">
        <w:t xml:space="preserve">. </w:t>
      </w:r>
      <w:r w:rsidR="00980963" w:rsidRPr="007345DA">
        <w:t xml:space="preserve">Official </w:t>
      </w:r>
      <w:r w:rsidR="00761332" w:rsidRPr="007345DA">
        <w:t xml:space="preserve">transcript(s) </w:t>
      </w:r>
      <w:r w:rsidR="00600588" w:rsidRPr="007345DA">
        <w:t xml:space="preserve">must </w:t>
      </w:r>
      <w:r w:rsidR="00980963" w:rsidRPr="007345DA">
        <w:t xml:space="preserve">be kept </w:t>
      </w:r>
      <w:r w:rsidR="00ED5CCF" w:rsidRPr="007345DA">
        <w:t>in</w:t>
      </w:r>
      <w:r w:rsidR="00761332" w:rsidRPr="007345DA">
        <w:t xml:space="preserve"> the faculty member’s personnel file </w:t>
      </w:r>
      <w:r w:rsidR="00ED5CCF" w:rsidRPr="007345DA">
        <w:t xml:space="preserve">as described in section </w:t>
      </w:r>
      <w:r w:rsidR="00871194" w:rsidRPr="007345DA">
        <w:t>B</w:t>
      </w:r>
      <w:r w:rsidR="00ED5CCF" w:rsidRPr="007345DA">
        <w:t xml:space="preserve"> </w:t>
      </w:r>
      <w:r w:rsidR="006941B0" w:rsidRPr="007345DA">
        <w:t>above</w:t>
      </w:r>
      <w:r w:rsidR="00600588" w:rsidRPr="007345DA">
        <w:t>. Copies of transcripts are required as supporting documentation</w:t>
      </w:r>
      <w:r w:rsidR="00600588">
        <w:t xml:space="preserve"> </w:t>
      </w:r>
      <w:r w:rsidR="00600588">
        <w:lastRenderedPageBreak/>
        <w:t xml:space="preserve">for the Faculty Hiring and Credentials form (Appendix B) </w:t>
      </w:r>
      <w:r w:rsidR="00F05151">
        <w:t>when it is submitted the first time or if there are changes to the transcript that affect teaching responsibilities.</w:t>
      </w:r>
      <w:r w:rsidR="003539C1">
        <w:t xml:space="preserve"> In addition, the faculty member must maintain g</w:t>
      </w:r>
      <w:r w:rsidR="003539C1" w:rsidRPr="001460D0" w:rsidDel="00CF6676">
        <w:t>raduate faculty status, as recommended by the Graduate Council and approved by the Dean of Graduate Studies, i</w:t>
      </w:r>
      <w:r w:rsidR="003539C1">
        <w:t xml:space="preserve">n order to be considered credentialed to teach graduate coursework. </w:t>
      </w:r>
    </w:p>
    <w:p w:rsidR="00ED5CCF" w:rsidRPr="001460D0" w:rsidRDefault="005975BE" w:rsidP="005D095D">
      <w:pPr>
        <w:spacing w:after="200" w:line="240" w:lineRule="auto"/>
        <w:ind w:left="2520" w:hanging="364"/>
      </w:pPr>
      <w:r w:rsidRPr="001460D0">
        <w:t>2</w:t>
      </w:r>
      <w:r w:rsidR="00761332" w:rsidRPr="001460D0">
        <w:t>.</w:t>
      </w:r>
      <w:r w:rsidR="004506B1">
        <w:tab/>
      </w:r>
      <w:r w:rsidR="00D761C1" w:rsidRPr="001460D0">
        <w:t xml:space="preserve">Coursework in the Discipline. </w:t>
      </w:r>
      <w:r w:rsidR="00761332" w:rsidRPr="001460D0">
        <w:t xml:space="preserve">If 18 hours of graduate coursework in the discipline or a related </w:t>
      </w:r>
      <w:r w:rsidR="00761332" w:rsidRPr="00ED4906">
        <w:t>discipline</w:t>
      </w:r>
      <w:r w:rsidR="00D761C1" w:rsidRPr="00ED4906">
        <w:t xml:space="preserve"> </w:t>
      </w:r>
      <w:r w:rsidR="00761332" w:rsidRPr="001460D0">
        <w:t xml:space="preserve">is utilized to justify the assignment, </w:t>
      </w:r>
      <w:r w:rsidR="00D761C1" w:rsidRPr="001460D0">
        <w:t xml:space="preserve">the specific 18 graduate hours must be documented on </w:t>
      </w:r>
      <w:r w:rsidR="00B95E1D" w:rsidRPr="001460D0">
        <w:t>the</w:t>
      </w:r>
      <w:r w:rsidR="00AC2D46">
        <w:t xml:space="preserve"> Faculty Hiring and Credential</w:t>
      </w:r>
      <w:r w:rsidR="00B95E1D" w:rsidRPr="001460D0">
        <w:t xml:space="preserve"> form</w:t>
      </w:r>
      <w:r w:rsidR="00E879E1">
        <w:t xml:space="preserve"> in the space provided</w:t>
      </w:r>
      <w:r w:rsidR="00B95E1D" w:rsidRPr="001460D0">
        <w:t>.</w:t>
      </w:r>
      <w:r w:rsidR="006941B0" w:rsidRPr="001460D0">
        <w:t xml:space="preserve"> </w:t>
      </w:r>
      <w:r w:rsidR="00980963" w:rsidRPr="001460D0">
        <w:t xml:space="preserve">Official transcripts for all coursework </w:t>
      </w:r>
      <w:r w:rsidR="00F05151">
        <w:t xml:space="preserve">must </w:t>
      </w:r>
      <w:r w:rsidR="00980963" w:rsidRPr="001460D0">
        <w:t xml:space="preserve">be kept </w:t>
      </w:r>
      <w:r w:rsidR="00ED5CCF" w:rsidRPr="001460D0">
        <w:t xml:space="preserve">in the faculty member’s personnel file as described in section </w:t>
      </w:r>
      <w:r w:rsidR="00871194">
        <w:t>B</w:t>
      </w:r>
      <w:r w:rsidR="00ED5CCF" w:rsidRPr="001460D0">
        <w:t xml:space="preserve"> above. </w:t>
      </w:r>
      <w:r w:rsidR="00F05151">
        <w:t>Copies of transcripts are required as supporting documentation for the Faculty Hiring and Credentials form (Appendix B) when it is submitted the first time or if there are changes to the transcript that affect teaching responsibilities.</w:t>
      </w:r>
      <w:r w:rsidR="003539C1" w:rsidRPr="003539C1">
        <w:t xml:space="preserve"> </w:t>
      </w:r>
      <w:r w:rsidR="003539C1">
        <w:t>In addition, the faculty member must maintain g</w:t>
      </w:r>
      <w:r w:rsidR="003539C1" w:rsidRPr="001460D0" w:rsidDel="00CF6676">
        <w:t>raduate faculty status, as recommended by the Graduate Council and approved by the Dean of Graduate Studies, i</w:t>
      </w:r>
      <w:r w:rsidR="003539C1">
        <w:t xml:space="preserve">n order to be considered credentialed to teach graduate coursework. </w:t>
      </w:r>
    </w:p>
    <w:p w:rsidR="00ED5CCF" w:rsidRDefault="005975BE" w:rsidP="005D095D">
      <w:pPr>
        <w:spacing w:after="200" w:line="240" w:lineRule="auto"/>
        <w:ind w:left="2520" w:hanging="364"/>
      </w:pPr>
      <w:r w:rsidRPr="001460D0">
        <w:t>3.</w:t>
      </w:r>
      <w:r w:rsidR="004506B1">
        <w:tab/>
      </w:r>
      <w:r w:rsidR="00B95E1D" w:rsidRPr="001460D0">
        <w:t xml:space="preserve">Experience. </w:t>
      </w:r>
      <w:r w:rsidR="00761332" w:rsidRPr="001460D0">
        <w:t xml:space="preserve">If </w:t>
      </w:r>
      <w:r w:rsidR="00980963" w:rsidRPr="001460D0">
        <w:t xml:space="preserve">experience, along with the degrees and coursework, is utilized to </w:t>
      </w:r>
      <w:r w:rsidR="00761332" w:rsidRPr="001460D0">
        <w:t>justif</w:t>
      </w:r>
      <w:r w:rsidR="00980963" w:rsidRPr="001460D0">
        <w:t>y</w:t>
      </w:r>
      <w:r w:rsidR="00761332" w:rsidRPr="001460D0">
        <w:t xml:space="preserve"> the assignment, </w:t>
      </w:r>
      <w:r w:rsidR="00980963" w:rsidRPr="001460D0">
        <w:t xml:space="preserve">this </w:t>
      </w:r>
      <w:r w:rsidR="00932906">
        <w:t xml:space="preserve">must be documented on </w:t>
      </w:r>
      <w:r w:rsidR="00980963" w:rsidRPr="001460D0">
        <w:t>a letter from the Department Chair on appropriate letterhead providing a narrative justification. Particular care should be taken to explain how the experience relates to the course content and has prepared the faculty member to teach the course.</w:t>
      </w:r>
      <w:r w:rsidR="00ED5CCF" w:rsidRPr="001460D0">
        <w:t xml:space="preserve"> </w:t>
      </w:r>
      <w:r w:rsidR="00932906">
        <w:t>In addition, f</w:t>
      </w:r>
      <w:r w:rsidR="00A15E09">
        <w:t>or graduate courses, a</w:t>
      </w:r>
      <w:r w:rsidR="00932906">
        <w:t xml:space="preserve"> </w:t>
      </w:r>
      <w:r w:rsidR="00A15E09">
        <w:t xml:space="preserve">letter from the Dean of Graduate Studies is also </w:t>
      </w:r>
      <w:r w:rsidR="00932906">
        <w:t>required</w:t>
      </w:r>
      <w:r w:rsidR="00A15E09">
        <w:t>, clarifying how the experience is significant in depth and breadth and appropriate preparation for the graduate level.</w:t>
      </w:r>
      <w:r w:rsidR="00A15E09" w:rsidRPr="001460D0">
        <w:t xml:space="preserve"> </w:t>
      </w:r>
      <w:r w:rsidR="00ED5CCF" w:rsidRPr="001460D0">
        <w:t xml:space="preserve">The letter </w:t>
      </w:r>
      <w:r w:rsidR="00A15E09">
        <w:t xml:space="preserve">or letters </w:t>
      </w:r>
      <w:r w:rsidR="00ED5CCF" w:rsidRPr="001460D0">
        <w:t>along with any other relevant documentation</w:t>
      </w:r>
      <w:r w:rsidR="00932906">
        <w:t xml:space="preserve"> must</w:t>
      </w:r>
      <w:r w:rsidR="00ED5CCF" w:rsidRPr="001460D0">
        <w:t xml:space="preserve"> be submitted with the </w:t>
      </w:r>
      <w:r w:rsidR="00871194">
        <w:t xml:space="preserve">Faculty Hiring and Credentials </w:t>
      </w:r>
      <w:r w:rsidR="00966439">
        <w:t>f</w:t>
      </w:r>
      <w:r w:rsidR="00871194">
        <w:t>orm</w:t>
      </w:r>
      <w:r w:rsidR="00ED5CCF" w:rsidRPr="001460D0">
        <w:t xml:space="preserve"> </w:t>
      </w:r>
      <w:r w:rsidR="00966439">
        <w:t xml:space="preserve">given in </w:t>
      </w:r>
      <w:r w:rsidR="00871194">
        <w:t>Appendix B</w:t>
      </w:r>
      <w:r w:rsidR="00A15E09">
        <w:t xml:space="preserve"> to the college dean. The dean, upon approval, submits the documentation and form to the Provost for approval. The individual is not considered fully credentialed until th</w:t>
      </w:r>
      <w:r w:rsidR="00932906">
        <w:t>e</w:t>
      </w:r>
      <w:r w:rsidR="00A15E09">
        <w:t xml:space="preserve"> approval </w:t>
      </w:r>
      <w:r w:rsidR="00932906">
        <w:t xml:space="preserve">from the Provost </w:t>
      </w:r>
      <w:r w:rsidR="00A15E09">
        <w:t>is complete. The letters and other documentation are</w:t>
      </w:r>
      <w:r w:rsidR="00ED5CCF" w:rsidRPr="001460D0">
        <w:t xml:space="preserve"> kept</w:t>
      </w:r>
      <w:r w:rsidR="00980963" w:rsidRPr="001460D0">
        <w:t xml:space="preserve"> </w:t>
      </w:r>
      <w:r w:rsidR="00ED5CCF" w:rsidRPr="001460D0">
        <w:t xml:space="preserve">in the faculty member’s personnel file as described in section </w:t>
      </w:r>
      <w:r w:rsidR="00871194">
        <w:t>B</w:t>
      </w:r>
      <w:r w:rsidR="00ED5CCF" w:rsidRPr="001460D0">
        <w:t xml:space="preserve"> above. </w:t>
      </w:r>
    </w:p>
    <w:p w:rsidR="008F5248" w:rsidRDefault="008F5248" w:rsidP="004506B1">
      <w:pPr>
        <w:spacing w:after="200" w:line="240" w:lineRule="auto"/>
        <w:ind w:left="2520" w:hanging="364"/>
      </w:pPr>
    </w:p>
    <w:p w:rsidR="00E53A53" w:rsidRPr="001460D0" w:rsidRDefault="00E53A53" w:rsidP="004506B1">
      <w:pPr>
        <w:spacing w:after="200" w:line="240" w:lineRule="auto"/>
        <w:ind w:left="2520" w:hanging="364"/>
      </w:pPr>
    </w:p>
    <w:p w:rsidR="00761332" w:rsidRPr="001460D0" w:rsidRDefault="005B0807" w:rsidP="00871194">
      <w:pPr>
        <w:spacing w:after="200" w:line="240" w:lineRule="auto"/>
        <w:ind w:left="1800" w:hanging="360"/>
        <w:rPr>
          <w:b/>
        </w:rPr>
      </w:pPr>
      <w:r w:rsidRPr="001460D0">
        <w:rPr>
          <w:b/>
        </w:rPr>
        <w:lastRenderedPageBreak/>
        <w:t>II</w:t>
      </w:r>
      <w:r w:rsidR="00F15A03" w:rsidRPr="001460D0">
        <w:rPr>
          <w:b/>
        </w:rPr>
        <w:t>.</w:t>
      </w:r>
      <w:r w:rsidR="004506B1">
        <w:rPr>
          <w:b/>
        </w:rPr>
        <w:tab/>
      </w:r>
      <w:r w:rsidR="00966439">
        <w:rPr>
          <w:b/>
        </w:rPr>
        <w:t xml:space="preserve">Credentials </w:t>
      </w:r>
      <w:r w:rsidR="002B158D" w:rsidRPr="001460D0">
        <w:rPr>
          <w:b/>
        </w:rPr>
        <w:t>Verification</w:t>
      </w:r>
    </w:p>
    <w:p w:rsidR="00871194" w:rsidRDefault="00376BA2" w:rsidP="00E17164">
      <w:pPr>
        <w:spacing w:after="200" w:line="240" w:lineRule="auto"/>
        <w:ind w:left="2160" w:hanging="360"/>
      </w:pPr>
      <w:r>
        <w:t>A.</w:t>
      </w:r>
      <w:r>
        <w:tab/>
      </w:r>
      <w:r w:rsidR="00871194">
        <w:t>Faculty Credentials Database. OIRA maintains the Faculty Credentials Database that contains credential and course information for each full-time and part-time faculty member</w:t>
      </w:r>
      <w:r w:rsidR="004C5B41">
        <w:t xml:space="preserve"> in the faculty credentials data module in Compliance Assist</w:t>
      </w:r>
      <w:r w:rsidR="00871194">
        <w:t>. This information is a summary of the personnel file and is used to complete the Faculty Roster for SACSCOC.</w:t>
      </w:r>
    </w:p>
    <w:p w:rsidR="00D5069F" w:rsidRDefault="00376BA2" w:rsidP="00E17164">
      <w:pPr>
        <w:spacing w:after="200" w:line="240" w:lineRule="auto"/>
        <w:ind w:left="2160" w:hanging="360"/>
      </w:pPr>
      <w:r>
        <w:t>B.</w:t>
      </w:r>
      <w:r>
        <w:tab/>
      </w:r>
      <w:r w:rsidR="00871194">
        <w:t xml:space="preserve">Semester Audit. </w:t>
      </w:r>
      <w:r w:rsidR="007C003C" w:rsidRPr="001460D0">
        <w:t xml:space="preserve">Each semester, OIRA will conduct an audit of all teaching assignments for the semester and verify that all </w:t>
      </w:r>
      <w:proofErr w:type="gramStart"/>
      <w:r w:rsidR="007C003C" w:rsidRPr="001460D0">
        <w:t>faculty</w:t>
      </w:r>
      <w:proofErr w:type="gramEnd"/>
      <w:r w:rsidR="007C003C" w:rsidRPr="001460D0">
        <w:t xml:space="preserve"> are credentialed to teach the courses to which they are assigned. If any </w:t>
      </w:r>
      <w:proofErr w:type="gramStart"/>
      <w:r w:rsidR="007C003C" w:rsidRPr="001460D0">
        <w:t>faculty appear</w:t>
      </w:r>
      <w:proofErr w:type="gramEnd"/>
      <w:r w:rsidR="007C003C" w:rsidRPr="001460D0">
        <w:t xml:space="preserve"> to lack documented credentials, this information will be forwarded to the department chair and college dean, with instructions to provide additional information or revise the course assignment.</w:t>
      </w:r>
      <w:r w:rsidR="00761332" w:rsidRPr="001460D0">
        <w:t xml:space="preserve"> </w:t>
      </w:r>
    </w:p>
    <w:p w:rsidR="00D02175" w:rsidRDefault="00D02175" w:rsidP="00E17164">
      <w:pPr>
        <w:spacing w:after="200" w:line="240" w:lineRule="auto"/>
        <w:ind w:left="2160" w:hanging="360"/>
      </w:pPr>
    </w:p>
    <w:p w:rsidR="008F5248" w:rsidRPr="008F5248" w:rsidRDefault="008F5248" w:rsidP="008F5248">
      <w:pPr>
        <w:spacing w:after="200" w:line="240" w:lineRule="auto"/>
        <w:ind w:left="1800" w:hanging="360"/>
        <w:rPr>
          <w:b/>
        </w:rPr>
      </w:pPr>
      <w:r w:rsidRPr="008F5248">
        <w:rPr>
          <w:b/>
        </w:rPr>
        <w:t>III.</w:t>
      </w:r>
      <w:r w:rsidRPr="008F5248">
        <w:rPr>
          <w:b/>
        </w:rPr>
        <w:tab/>
        <w:t>Roles and Responsibilities</w:t>
      </w:r>
    </w:p>
    <w:p w:rsidR="00E97379" w:rsidRDefault="008F5248" w:rsidP="00E97379">
      <w:pPr>
        <w:spacing w:after="200" w:line="240" w:lineRule="auto"/>
        <w:ind w:left="2160" w:hanging="360"/>
      </w:pPr>
      <w:r>
        <w:t>A.</w:t>
      </w:r>
      <w:r>
        <w:tab/>
      </w:r>
      <w:r w:rsidR="00E97379">
        <w:t xml:space="preserve">Faculty. Faculty employed </w:t>
      </w:r>
      <w:r w:rsidR="00D02175">
        <w:t xml:space="preserve">and GTAs </w:t>
      </w:r>
      <w:r w:rsidR="00E97379">
        <w:t xml:space="preserve">are responsible </w:t>
      </w:r>
      <w:r w:rsidR="00AC2D46">
        <w:t>for</w:t>
      </w:r>
      <w:r w:rsidR="00E97379">
        <w:t xml:space="preserve"> submit</w:t>
      </w:r>
      <w:r w:rsidR="00AC2D46">
        <w:t>ting</w:t>
      </w:r>
      <w:r w:rsidR="00E97379">
        <w:t xml:space="preserve"> documentation of their credentials, including transcripts, at the time of hire or upon request if additional documentation is needed.</w:t>
      </w:r>
    </w:p>
    <w:p w:rsidR="00E97379" w:rsidRPr="007345DA" w:rsidRDefault="00E97379" w:rsidP="00D02175">
      <w:pPr>
        <w:spacing w:after="200" w:line="240" w:lineRule="auto"/>
        <w:ind w:left="2160" w:hanging="360"/>
      </w:pPr>
      <w:r>
        <w:t>B.</w:t>
      </w:r>
      <w:r>
        <w:tab/>
      </w:r>
      <w:r w:rsidRPr="00D02175">
        <w:t xml:space="preserve">Department Chairs. Department </w:t>
      </w:r>
      <w:r w:rsidR="00D02175" w:rsidRPr="007345DA">
        <w:t xml:space="preserve">chairs </w:t>
      </w:r>
      <w:r w:rsidR="00D02175" w:rsidRPr="005D095D">
        <w:t xml:space="preserve">complete the Faculty Hiring and Credentials Form from Appendix B and submit it electronically to </w:t>
      </w:r>
      <w:r w:rsidRPr="005D095D">
        <w:t xml:space="preserve">the appropriate </w:t>
      </w:r>
      <w:r w:rsidR="00D02175" w:rsidRPr="005D095D">
        <w:t>college d</w:t>
      </w:r>
      <w:r w:rsidRPr="005D095D">
        <w:t>ean</w:t>
      </w:r>
      <w:r w:rsidR="00D02175" w:rsidRPr="005D095D">
        <w:t>. This is done</w:t>
      </w:r>
      <w:r w:rsidRPr="005D095D">
        <w:t xml:space="preserve"> at time of hire </w:t>
      </w:r>
      <w:r w:rsidR="00D02175" w:rsidRPr="005D095D">
        <w:t xml:space="preserve">or appointment </w:t>
      </w:r>
      <w:r w:rsidRPr="005D095D">
        <w:t xml:space="preserve">for faculty </w:t>
      </w:r>
      <w:r w:rsidR="00D02175" w:rsidRPr="005D095D">
        <w:t xml:space="preserve">or GTAs </w:t>
      </w:r>
      <w:r w:rsidRPr="005D095D">
        <w:t>hired after July 2015</w:t>
      </w:r>
      <w:r w:rsidR="004C5B41" w:rsidRPr="005D095D">
        <w:t xml:space="preserve"> or if </w:t>
      </w:r>
      <w:r w:rsidR="00D02175" w:rsidRPr="005D095D">
        <w:t>teaching responsibilities are expanded to include courses not on the</w:t>
      </w:r>
      <w:r w:rsidR="00AC2D46" w:rsidRPr="005D095D">
        <w:t xml:space="preserve"> </w:t>
      </w:r>
      <w:r w:rsidR="00D02175" w:rsidRPr="005D095D">
        <w:t xml:space="preserve">form </w:t>
      </w:r>
      <w:r w:rsidR="00AC2D46" w:rsidRPr="005D095D">
        <w:t xml:space="preserve">on file or on the 2015 SACSCOC Reaffirmation of Accreditation Faculty Credential form </w:t>
      </w:r>
      <w:r w:rsidR="00D02175" w:rsidRPr="005D095D">
        <w:t>for a faculty member or GTA</w:t>
      </w:r>
      <w:r w:rsidR="00D02175" w:rsidRPr="007345DA">
        <w:t xml:space="preserve">. </w:t>
      </w:r>
      <w:r w:rsidR="003539C1">
        <w:t>For any faculty being credentialed to teach graduate courses</w:t>
      </w:r>
      <w:r w:rsidR="00E53A53">
        <w:t>, department chairs verify their graduate status with the Dean of Graduate Studies. If that credential is</w:t>
      </w:r>
      <w:r w:rsidR="003539C1">
        <w:t xml:space="preserve"> based on experience, department chairs also request the appropriate </w:t>
      </w:r>
      <w:r w:rsidR="00E53A53">
        <w:t xml:space="preserve">recommendation </w:t>
      </w:r>
      <w:r w:rsidR="003539C1">
        <w:t xml:space="preserve">from the Dean of Graduate Studies. </w:t>
      </w:r>
    </w:p>
    <w:p w:rsidR="004C5B41" w:rsidRPr="007345DA" w:rsidRDefault="004C5B41" w:rsidP="00D02175">
      <w:pPr>
        <w:spacing w:after="200" w:line="240" w:lineRule="auto"/>
        <w:ind w:left="2160" w:hanging="360"/>
      </w:pPr>
      <w:r w:rsidRPr="007345DA">
        <w:t>C.</w:t>
      </w:r>
      <w:r w:rsidRPr="007345DA">
        <w:tab/>
        <w:t xml:space="preserve">Deans. Deans </w:t>
      </w:r>
      <w:r w:rsidR="00D02175" w:rsidRPr="005D095D">
        <w:t>receive the Faculty Hiring and Credentials Form from Appendix B and, once approved, submit it electronically.</w:t>
      </w:r>
      <w:r w:rsidR="00D02175" w:rsidRPr="007345DA">
        <w:t xml:space="preserve"> </w:t>
      </w:r>
      <w:r w:rsidRPr="007345DA">
        <w:t xml:space="preserve">If the credentials are based on experience, the form is submitted to the Provost for approval. If the credentials are not based on experience, the form is submitted directly to the OIRA. </w:t>
      </w:r>
    </w:p>
    <w:p w:rsidR="004C5B41" w:rsidRPr="007345DA" w:rsidRDefault="00DB70D2" w:rsidP="00DB70D2">
      <w:pPr>
        <w:spacing w:after="200" w:line="240" w:lineRule="auto"/>
        <w:ind w:left="2160" w:hanging="360"/>
      </w:pPr>
      <w:r w:rsidRPr="007345DA">
        <w:t>D.</w:t>
      </w:r>
      <w:r w:rsidRPr="007345DA">
        <w:tab/>
        <w:t>Dean of Graduate Studies. This dean maintains the record of graduate status for faculty and is responsible to notify OIRA of any status changes</w:t>
      </w:r>
      <w:r w:rsidRPr="005D095D">
        <w:t xml:space="preserve">. </w:t>
      </w:r>
      <w:r w:rsidR="00B72B6A" w:rsidRPr="005D095D">
        <w:t xml:space="preserve">For any faculty credentialed to teach graduate </w:t>
      </w:r>
      <w:r w:rsidR="00B72B6A" w:rsidRPr="005D095D">
        <w:lastRenderedPageBreak/>
        <w:t>courses based on experience, this dean also provides a letter with narrative justification as part of the supporting documentation</w:t>
      </w:r>
      <w:r w:rsidR="00B72B6A" w:rsidRPr="007345DA">
        <w:t xml:space="preserve">. </w:t>
      </w:r>
    </w:p>
    <w:p w:rsidR="004C5B41" w:rsidRDefault="00DB70D2" w:rsidP="00DB70D2">
      <w:pPr>
        <w:spacing w:after="200" w:line="240" w:lineRule="auto"/>
        <w:ind w:left="2160" w:hanging="360"/>
      </w:pPr>
      <w:r w:rsidRPr="007345DA">
        <w:t>E</w:t>
      </w:r>
      <w:r w:rsidR="004C5B41" w:rsidRPr="007345DA">
        <w:t>.</w:t>
      </w:r>
      <w:r w:rsidR="004C5B41" w:rsidRPr="007345DA">
        <w:tab/>
        <w:t>Provost. The Provost provides oversight for the faculty credentialing</w:t>
      </w:r>
      <w:r w:rsidR="004C5B41">
        <w:t xml:space="preserve"> process. This include</w:t>
      </w:r>
      <w:r w:rsidR="00B72B6A">
        <w:t>s</w:t>
      </w:r>
      <w:r w:rsidR="004C5B41">
        <w:t xml:space="preserve"> final approval on any credentials based on experience </w:t>
      </w:r>
      <w:r>
        <w:t xml:space="preserve">using the Faculty Hiring and Credentials Form from Appendix B </w:t>
      </w:r>
      <w:r w:rsidR="004C5B41">
        <w:t xml:space="preserve">or any disagreement on </w:t>
      </w:r>
      <w:r w:rsidR="00E879E1">
        <w:t xml:space="preserve">fields in which the credential is held. </w:t>
      </w:r>
    </w:p>
    <w:p w:rsidR="008F5248" w:rsidRDefault="00DB70D2" w:rsidP="00E17164">
      <w:pPr>
        <w:spacing w:after="200" w:line="240" w:lineRule="auto"/>
        <w:ind w:left="2160" w:hanging="360"/>
      </w:pPr>
      <w:r>
        <w:t>F</w:t>
      </w:r>
      <w:r w:rsidR="004C5B41">
        <w:t>.</w:t>
      </w:r>
      <w:r w:rsidR="004C5B41">
        <w:tab/>
        <w:t xml:space="preserve">OIRA. OIRA </w:t>
      </w:r>
      <w:proofErr w:type="gramStart"/>
      <w:r w:rsidR="004C5B41">
        <w:t>staff maintain</w:t>
      </w:r>
      <w:proofErr w:type="gramEnd"/>
      <w:r w:rsidR="004C5B41">
        <w:t xml:space="preserve"> documentation on faculty credentials, audit course assignments each semester to verify faculty credentials, and generate the faculty roster based on those credentials as needed. </w:t>
      </w:r>
    </w:p>
    <w:p w:rsidR="00E879E1" w:rsidRPr="001460D0" w:rsidRDefault="00E879E1" w:rsidP="00E17164">
      <w:pPr>
        <w:spacing w:after="200" w:line="240" w:lineRule="auto"/>
        <w:ind w:left="2160" w:hanging="360"/>
      </w:pPr>
    </w:p>
    <w:p w:rsidR="00993711" w:rsidRPr="001460D0" w:rsidRDefault="00993711" w:rsidP="00993711">
      <w:pPr>
        <w:tabs>
          <w:tab w:val="left" w:pos="1800"/>
        </w:tabs>
        <w:ind w:left="1800" w:hanging="1699"/>
        <w:jc w:val="both"/>
        <w:rPr>
          <w:b/>
          <w:u w:val="thick" w:color="000000"/>
        </w:rPr>
      </w:pPr>
      <w:r w:rsidRPr="001460D0">
        <w:rPr>
          <w:b/>
          <w:u w:val="thick" w:color="000000"/>
        </w:rPr>
        <w:t>Review</w:t>
      </w:r>
    </w:p>
    <w:p w:rsidR="00993711" w:rsidRPr="001460D0" w:rsidRDefault="00993711" w:rsidP="00993711">
      <w:pPr>
        <w:tabs>
          <w:tab w:val="left" w:pos="1800"/>
        </w:tabs>
        <w:spacing w:after="0" w:line="240" w:lineRule="auto"/>
        <w:ind w:left="1800" w:hanging="1699"/>
        <w:jc w:val="both"/>
        <w:rPr>
          <w:b/>
          <w:u w:val="thick" w:color="000000"/>
        </w:rPr>
      </w:pPr>
    </w:p>
    <w:p w:rsidR="00993711" w:rsidRPr="001460D0" w:rsidRDefault="00993711" w:rsidP="005D0AF9">
      <w:pPr>
        <w:tabs>
          <w:tab w:val="left" w:pos="1800"/>
        </w:tabs>
        <w:spacing w:after="0" w:line="240" w:lineRule="auto"/>
        <w:ind w:left="1800" w:hanging="1699"/>
        <w:jc w:val="both"/>
      </w:pPr>
      <w:r w:rsidRPr="001460D0">
        <w:t>Academic Affairs will review this policy every five years or sooner as needed.</w:t>
      </w:r>
      <w:r w:rsidRPr="001460D0">
        <w:rPr>
          <w:b/>
          <w:spacing w:val="-1"/>
        </w:rPr>
        <w:tab/>
      </w:r>
    </w:p>
    <w:p w:rsidR="00993711" w:rsidRPr="001460D0" w:rsidRDefault="00993711" w:rsidP="003A73E3">
      <w:pPr>
        <w:tabs>
          <w:tab w:val="left" w:pos="1800"/>
        </w:tabs>
        <w:spacing w:after="0" w:line="240" w:lineRule="auto"/>
        <w:jc w:val="both"/>
      </w:pPr>
    </w:p>
    <w:p w:rsidR="00993711" w:rsidRPr="001460D0" w:rsidRDefault="00993711" w:rsidP="00993711">
      <w:pPr>
        <w:tabs>
          <w:tab w:val="left" w:pos="1800"/>
        </w:tabs>
        <w:ind w:left="100"/>
        <w:rPr>
          <w:b/>
        </w:rPr>
      </w:pPr>
      <w:r w:rsidRPr="001460D0">
        <w:rPr>
          <w:b/>
          <w:u w:val="single"/>
        </w:rPr>
        <w:t>Approval</w:t>
      </w:r>
      <w:r w:rsidRPr="001460D0">
        <w:rPr>
          <w:b/>
        </w:rPr>
        <w:tab/>
      </w:r>
    </w:p>
    <w:p w:rsidR="00AC2D46" w:rsidRDefault="00AC2D46" w:rsidP="00993711">
      <w:pPr>
        <w:spacing w:after="0" w:line="240" w:lineRule="auto"/>
        <w:ind w:left="86"/>
        <w:rPr>
          <w:u w:val="single"/>
        </w:rPr>
      </w:pPr>
    </w:p>
    <w:p w:rsidR="00993711" w:rsidRPr="001460D0" w:rsidRDefault="00993711" w:rsidP="00993711">
      <w:pPr>
        <w:spacing w:after="0" w:line="240" w:lineRule="auto"/>
        <w:ind w:left="86"/>
        <w:rPr>
          <w:u w:val="single"/>
        </w:rPr>
      </w:pPr>
      <w:r w:rsidRPr="001460D0">
        <w:rPr>
          <w:u w:val="single"/>
        </w:rPr>
        <w:tab/>
      </w:r>
      <w:r w:rsidRPr="001460D0">
        <w:rPr>
          <w:u w:val="single"/>
        </w:rPr>
        <w:tab/>
      </w:r>
      <w:r w:rsidRPr="001460D0">
        <w:rPr>
          <w:u w:val="single"/>
        </w:rPr>
        <w:tab/>
      </w:r>
      <w:r w:rsidRPr="001460D0">
        <w:rPr>
          <w:u w:val="single"/>
        </w:rPr>
        <w:tab/>
      </w:r>
      <w:r w:rsidRPr="001460D0">
        <w:rPr>
          <w:u w:val="single"/>
        </w:rPr>
        <w:tab/>
      </w:r>
      <w:r w:rsidRPr="001460D0">
        <w:rPr>
          <w:u w:val="single"/>
        </w:rPr>
        <w:tab/>
      </w:r>
      <w:r w:rsidRPr="001460D0">
        <w:rPr>
          <w:u w:val="single"/>
        </w:rPr>
        <w:tab/>
      </w:r>
      <w:r w:rsidRPr="001460D0">
        <w:rPr>
          <w:u w:val="single"/>
        </w:rPr>
        <w:tab/>
      </w:r>
      <w:r w:rsidRPr="001460D0">
        <w:rPr>
          <w:u w:val="single"/>
        </w:rPr>
        <w:tab/>
      </w:r>
      <w:r w:rsidRPr="001460D0">
        <w:tab/>
      </w:r>
      <w:r w:rsidRPr="001460D0">
        <w:rPr>
          <w:u w:val="single"/>
        </w:rPr>
        <w:tab/>
      </w:r>
      <w:r w:rsidRPr="001460D0">
        <w:rPr>
          <w:u w:val="single"/>
        </w:rPr>
        <w:tab/>
      </w:r>
    </w:p>
    <w:p w:rsidR="00993711" w:rsidRPr="001460D0" w:rsidRDefault="00993711" w:rsidP="00993711">
      <w:pPr>
        <w:ind w:left="90"/>
      </w:pPr>
      <w:r w:rsidRPr="001460D0">
        <w:t>Chief University Counsel</w:t>
      </w:r>
      <w:r w:rsidRPr="001460D0">
        <w:tab/>
      </w:r>
      <w:r w:rsidRPr="001460D0">
        <w:tab/>
      </w:r>
      <w:r w:rsidRPr="001460D0">
        <w:tab/>
      </w:r>
      <w:r w:rsidRPr="001460D0">
        <w:tab/>
      </w:r>
      <w:r w:rsidRPr="001460D0">
        <w:tab/>
      </w:r>
      <w:r w:rsidRPr="001460D0">
        <w:tab/>
      </w:r>
      <w:r w:rsidRPr="001460D0">
        <w:tab/>
        <w:t>Date</w:t>
      </w:r>
    </w:p>
    <w:p w:rsidR="00AC2D46" w:rsidRDefault="00AC2D46" w:rsidP="003A73E3">
      <w:pPr>
        <w:spacing w:after="0" w:line="240" w:lineRule="auto"/>
        <w:ind w:left="90"/>
      </w:pPr>
    </w:p>
    <w:p w:rsidR="00993711" w:rsidRPr="001460D0" w:rsidRDefault="00993711" w:rsidP="003A73E3">
      <w:pPr>
        <w:spacing w:after="0" w:line="240" w:lineRule="auto"/>
        <w:ind w:left="90"/>
        <w:rPr>
          <w:u w:val="single"/>
        </w:rPr>
      </w:pPr>
      <w:r w:rsidRPr="001460D0">
        <w:t>__________________________________________________</w:t>
      </w:r>
      <w:r w:rsidRPr="001460D0">
        <w:tab/>
      </w:r>
      <w:r w:rsidRPr="001460D0">
        <w:rPr>
          <w:u w:val="single"/>
        </w:rPr>
        <w:tab/>
      </w:r>
      <w:r w:rsidRPr="001460D0">
        <w:rPr>
          <w:u w:val="single"/>
        </w:rPr>
        <w:tab/>
      </w:r>
    </w:p>
    <w:p w:rsidR="00993711" w:rsidRPr="001460D0" w:rsidRDefault="00993711" w:rsidP="003A73E3">
      <w:pPr>
        <w:spacing w:after="0" w:line="240" w:lineRule="auto"/>
        <w:ind w:left="100"/>
      </w:pPr>
      <w:r w:rsidRPr="001460D0">
        <w:t>Provost and Executive Vice President for</w:t>
      </w:r>
      <w:r w:rsidRPr="001460D0">
        <w:tab/>
      </w:r>
      <w:r w:rsidRPr="001460D0">
        <w:tab/>
      </w:r>
      <w:r w:rsidRPr="001460D0">
        <w:tab/>
      </w:r>
      <w:r w:rsidRPr="001460D0">
        <w:tab/>
        <w:t>D</w:t>
      </w:r>
      <w:r w:rsidRPr="001460D0">
        <w:rPr>
          <w:spacing w:val="-1"/>
        </w:rPr>
        <w:t>a</w:t>
      </w:r>
      <w:r w:rsidRPr="001460D0">
        <w:t>te</w:t>
      </w:r>
    </w:p>
    <w:p w:rsidR="00993711" w:rsidRPr="001460D0" w:rsidRDefault="00993711" w:rsidP="003A73E3">
      <w:pPr>
        <w:spacing w:after="0" w:line="240" w:lineRule="auto"/>
        <w:ind w:left="90"/>
      </w:pPr>
      <w:r w:rsidRPr="001460D0">
        <w:t>Academic Affairs</w:t>
      </w:r>
    </w:p>
    <w:p w:rsidR="00993711" w:rsidRPr="001460D0" w:rsidRDefault="00993711" w:rsidP="003A73E3">
      <w:pPr>
        <w:spacing w:after="0" w:line="240" w:lineRule="auto"/>
        <w:ind w:left="100"/>
        <w:rPr>
          <w:b/>
        </w:rPr>
      </w:pPr>
    </w:p>
    <w:p w:rsidR="00993711" w:rsidRPr="001460D0" w:rsidRDefault="00993711" w:rsidP="003A73E3">
      <w:pPr>
        <w:spacing w:after="0" w:line="240" w:lineRule="auto"/>
        <w:ind w:left="100"/>
        <w:rPr>
          <w:b/>
        </w:rPr>
      </w:pPr>
      <w:r w:rsidRPr="001460D0">
        <w:rPr>
          <w:b/>
        </w:rPr>
        <w:t>A</w:t>
      </w:r>
      <w:r w:rsidRPr="001460D0">
        <w:rPr>
          <w:b/>
          <w:spacing w:val="1"/>
        </w:rPr>
        <w:t>PPR</w:t>
      </w:r>
      <w:r w:rsidRPr="001460D0">
        <w:rPr>
          <w:b/>
        </w:rPr>
        <w:t>OVED:</w:t>
      </w:r>
    </w:p>
    <w:p w:rsidR="00993711" w:rsidRPr="001460D0" w:rsidRDefault="00993711" w:rsidP="003A73E3">
      <w:pPr>
        <w:spacing w:after="0" w:line="240" w:lineRule="auto"/>
      </w:pPr>
    </w:p>
    <w:p w:rsidR="00993711" w:rsidRPr="001460D0" w:rsidRDefault="00993711" w:rsidP="003A73E3">
      <w:pPr>
        <w:spacing w:after="0" w:line="240" w:lineRule="auto"/>
        <w:ind w:left="86"/>
      </w:pPr>
      <w:r w:rsidRPr="001460D0">
        <w:rPr>
          <w:u w:val="single"/>
        </w:rPr>
        <w:tab/>
      </w:r>
      <w:r w:rsidRPr="001460D0">
        <w:rPr>
          <w:u w:val="single"/>
        </w:rPr>
        <w:tab/>
      </w:r>
      <w:r w:rsidRPr="001460D0">
        <w:rPr>
          <w:u w:val="single"/>
        </w:rPr>
        <w:tab/>
      </w:r>
      <w:r w:rsidRPr="001460D0">
        <w:rPr>
          <w:u w:val="single"/>
        </w:rPr>
        <w:tab/>
      </w:r>
      <w:r w:rsidRPr="001460D0">
        <w:rPr>
          <w:u w:val="single"/>
        </w:rPr>
        <w:tab/>
      </w:r>
      <w:r w:rsidRPr="001460D0">
        <w:rPr>
          <w:u w:val="single"/>
        </w:rPr>
        <w:tab/>
      </w:r>
      <w:r w:rsidRPr="001460D0">
        <w:rPr>
          <w:u w:val="single"/>
        </w:rPr>
        <w:tab/>
      </w:r>
      <w:r w:rsidRPr="001460D0">
        <w:rPr>
          <w:u w:val="single"/>
        </w:rPr>
        <w:tab/>
      </w:r>
      <w:r w:rsidRPr="001460D0">
        <w:rPr>
          <w:u w:val="single"/>
        </w:rPr>
        <w:tab/>
      </w:r>
      <w:r w:rsidRPr="001460D0">
        <w:tab/>
      </w:r>
      <w:r w:rsidRPr="001460D0">
        <w:rPr>
          <w:u w:val="single"/>
        </w:rPr>
        <w:tab/>
      </w:r>
      <w:r w:rsidRPr="001460D0">
        <w:rPr>
          <w:u w:val="single"/>
        </w:rPr>
        <w:tab/>
      </w:r>
    </w:p>
    <w:p w:rsidR="00993711" w:rsidRPr="001460D0" w:rsidRDefault="00993711" w:rsidP="00993711">
      <w:pPr>
        <w:ind w:left="90"/>
      </w:pPr>
      <w:r w:rsidRPr="001460D0">
        <w:t>President</w:t>
      </w:r>
      <w:r w:rsidRPr="001460D0">
        <w:tab/>
      </w:r>
      <w:r w:rsidRPr="001460D0">
        <w:tab/>
      </w:r>
      <w:r w:rsidRPr="001460D0">
        <w:tab/>
      </w:r>
      <w:r w:rsidRPr="001460D0">
        <w:tab/>
      </w:r>
      <w:r w:rsidRPr="001460D0">
        <w:tab/>
      </w:r>
      <w:r w:rsidRPr="001460D0">
        <w:tab/>
      </w:r>
      <w:r w:rsidRPr="001460D0">
        <w:tab/>
      </w:r>
      <w:r w:rsidRPr="001460D0">
        <w:tab/>
      </w:r>
      <w:r w:rsidRPr="001460D0">
        <w:tab/>
        <w:t>Date</w:t>
      </w:r>
    </w:p>
    <w:p w:rsidR="00D5069F" w:rsidRPr="00993711" w:rsidRDefault="00D5069F"/>
    <w:sectPr w:rsidR="00D5069F" w:rsidRPr="0099371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AF7" w:rsidRDefault="00572AF7" w:rsidP="00A275CC">
      <w:pPr>
        <w:spacing w:after="0" w:line="240" w:lineRule="auto"/>
      </w:pPr>
      <w:r>
        <w:separator/>
      </w:r>
    </w:p>
  </w:endnote>
  <w:endnote w:type="continuationSeparator" w:id="0">
    <w:p w:rsidR="00572AF7" w:rsidRDefault="00572AF7" w:rsidP="00A2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Heavy">
    <w:altName w:val="Avenir Heavy"/>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082579"/>
      <w:docPartObj>
        <w:docPartGallery w:val="Page Numbers (Top of Page)"/>
        <w:docPartUnique/>
      </w:docPartObj>
    </w:sdtPr>
    <w:sdtEndPr/>
    <w:sdtContent>
      <w:p w:rsidR="00A275CC" w:rsidRDefault="00A275CC" w:rsidP="00A275CC">
        <w:pPr>
          <w:pStyle w:val="Footer"/>
          <w:jc w:val="right"/>
        </w:pPr>
        <w:r>
          <w:t>Policy</w:t>
        </w:r>
      </w:p>
      <w:p w:rsidR="00A275CC" w:rsidRDefault="00A275CC" w:rsidP="00A275CC">
        <w:pPr>
          <w:pStyle w:val="Footer"/>
          <w:jc w:val="right"/>
        </w:pPr>
        <w:r>
          <w:t>02.01.56</w:t>
        </w:r>
      </w:p>
      <w:p w:rsidR="00A275CC" w:rsidRPr="00A275CC" w:rsidRDefault="00A275CC" w:rsidP="00A275CC">
        <w:pPr>
          <w:pStyle w:val="Footer"/>
          <w:jc w:val="right"/>
          <w:rPr>
            <w:bCs/>
          </w:rPr>
        </w:pPr>
        <w:r w:rsidRPr="00E96FE0">
          <w:t xml:space="preserve">Page </w:t>
        </w:r>
        <w:r w:rsidRPr="00E96FE0">
          <w:rPr>
            <w:bCs/>
          </w:rPr>
          <w:fldChar w:fldCharType="begin"/>
        </w:r>
        <w:r w:rsidRPr="00E96FE0">
          <w:rPr>
            <w:bCs/>
          </w:rPr>
          <w:instrText xml:space="preserve"> PAGE </w:instrText>
        </w:r>
        <w:r w:rsidRPr="00E96FE0">
          <w:rPr>
            <w:bCs/>
          </w:rPr>
          <w:fldChar w:fldCharType="separate"/>
        </w:r>
        <w:r w:rsidR="00823511">
          <w:rPr>
            <w:bCs/>
            <w:noProof/>
          </w:rPr>
          <w:t>1</w:t>
        </w:r>
        <w:r w:rsidRPr="00E96FE0">
          <w:rPr>
            <w:bCs/>
          </w:rPr>
          <w:fldChar w:fldCharType="end"/>
        </w:r>
        <w:r w:rsidRPr="00E96FE0">
          <w:t xml:space="preserve"> of </w:t>
        </w:r>
        <w:r w:rsidRPr="00E96FE0">
          <w:rPr>
            <w:bCs/>
          </w:rPr>
          <w:fldChar w:fldCharType="begin"/>
        </w:r>
        <w:r w:rsidRPr="00E96FE0">
          <w:rPr>
            <w:bCs/>
          </w:rPr>
          <w:instrText xml:space="preserve"> NUMPAGES  </w:instrText>
        </w:r>
        <w:r w:rsidRPr="00E96FE0">
          <w:rPr>
            <w:bCs/>
          </w:rPr>
          <w:fldChar w:fldCharType="separate"/>
        </w:r>
        <w:r w:rsidR="00823511">
          <w:rPr>
            <w:bCs/>
            <w:noProof/>
          </w:rPr>
          <w:t>7</w:t>
        </w:r>
        <w:r w:rsidRPr="00E96FE0">
          <w:rPr>
            <w:bCs/>
          </w:rPr>
          <w:fldChar w:fldCharType="end"/>
        </w:r>
      </w:p>
    </w:sdtContent>
  </w:sdt>
  <w:p w:rsidR="00A275CC" w:rsidRDefault="00A27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AF7" w:rsidRDefault="00572AF7" w:rsidP="00A275CC">
      <w:pPr>
        <w:spacing w:after="0" w:line="240" w:lineRule="auto"/>
      </w:pPr>
      <w:r>
        <w:separator/>
      </w:r>
    </w:p>
  </w:footnote>
  <w:footnote w:type="continuationSeparator" w:id="0">
    <w:p w:rsidR="00572AF7" w:rsidRDefault="00572AF7" w:rsidP="00A275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80190"/>
    <w:multiLevelType w:val="hybridMultilevel"/>
    <w:tmpl w:val="D0C00934"/>
    <w:lvl w:ilvl="0" w:tplc="7AF22BB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BF10FAF"/>
    <w:multiLevelType w:val="hybridMultilevel"/>
    <w:tmpl w:val="3894FEDA"/>
    <w:lvl w:ilvl="0" w:tplc="96C8EC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D352FB1"/>
    <w:multiLevelType w:val="hybridMultilevel"/>
    <w:tmpl w:val="5DFE4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300E3A"/>
    <w:multiLevelType w:val="hybridMultilevel"/>
    <w:tmpl w:val="DF323B04"/>
    <w:lvl w:ilvl="0" w:tplc="482C0FA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69F"/>
    <w:rsid w:val="00000259"/>
    <w:rsid w:val="00003D77"/>
    <w:rsid w:val="000058CF"/>
    <w:rsid w:val="0007625A"/>
    <w:rsid w:val="00086031"/>
    <w:rsid w:val="000964ED"/>
    <w:rsid w:val="001037AC"/>
    <w:rsid w:val="00122C3C"/>
    <w:rsid w:val="00135709"/>
    <w:rsid w:val="00137459"/>
    <w:rsid w:val="00140E6D"/>
    <w:rsid w:val="001460D0"/>
    <w:rsid w:val="00174B5A"/>
    <w:rsid w:val="00176072"/>
    <w:rsid w:val="001873BE"/>
    <w:rsid w:val="001A21A3"/>
    <w:rsid w:val="001E10A5"/>
    <w:rsid w:val="001E7B57"/>
    <w:rsid w:val="001F35E2"/>
    <w:rsid w:val="0021345F"/>
    <w:rsid w:val="002216CA"/>
    <w:rsid w:val="00231373"/>
    <w:rsid w:val="002431E5"/>
    <w:rsid w:val="00243522"/>
    <w:rsid w:val="002478D0"/>
    <w:rsid w:val="002B158D"/>
    <w:rsid w:val="002E1D8D"/>
    <w:rsid w:val="002E5EBF"/>
    <w:rsid w:val="00301BD9"/>
    <w:rsid w:val="0034530B"/>
    <w:rsid w:val="003539C1"/>
    <w:rsid w:val="00355CF4"/>
    <w:rsid w:val="003674E4"/>
    <w:rsid w:val="00374529"/>
    <w:rsid w:val="00376BA2"/>
    <w:rsid w:val="00377A38"/>
    <w:rsid w:val="00382540"/>
    <w:rsid w:val="003A73E3"/>
    <w:rsid w:val="003D256A"/>
    <w:rsid w:val="003E744A"/>
    <w:rsid w:val="0042288D"/>
    <w:rsid w:val="0043357B"/>
    <w:rsid w:val="00436FEC"/>
    <w:rsid w:val="00437FCE"/>
    <w:rsid w:val="004506B1"/>
    <w:rsid w:val="00482984"/>
    <w:rsid w:val="004905BE"/>
    <w:rsid w:val="00492961"/>
    <w:rsid w:val="004A2F69"/>
    <w:rsid w:val="004A4F5C"/>
    <w:rsid w:val="004A78AD"/>
    <w:rsid w:val="004B2E3F"/>
    <w:rsid w:val="004B3CC9"/>
    <w:rsid w:val="004B416E"/>
    <w:rsid w:val="004C5B41"/>
    <w:rsid w:val="005234AA"/>
    <w:rsid w:val="0055507A"/>
    <w:rsid w:val="00572AF7"/>
    <w:rsid w:val="005975BE"/>
    <w:rsid w:val="005B0807"/>
    <w:rsid w:val="005B5002"/>
    <w:rsid w:val="005C4964"/>
    <w:rsid w:val="005D095D"/>
    <w:rsid w:val="005D0AF9"/>
    <w:rsid w:val="005F48E1"/>
    <w:rsid w:val="005F7C7F"/>
    <w:rsid w:val="00600588"/>
    <w:rsid w:val="006045E2"/>
    <w:rsid w:val="00632782"/>
    <w:rsid w:val="006514D8"/>
    <w:rsid w:val="00652D0D"/>
    <w:rsid w:val="00686F9C"/>
    <w:rsid w:val="00692F8C"/>
    <w:rsid w:val="006941B0"/>
    <w:rsid w:val="006A64BC"/>
    <w:rsid w:val="006A6500"/>
    <w:rsid w:val="006D7D66"/>
    <w:rsid w:val="006E3C9C"/>
    <w:rsid w:val="006F506B"/>
    <w:rsid w:val="007032F7"/>
    <w:rsid w:val="007345DA"/>
    <w:rsid w:val="00744D7B"/>
    <w:rsid w:val="00753B6D"/>
    <w:rsid w:val="00761332"/>
    <w:rsid w:val="00765B99"/>
    <w:rsid w:val="00766605"/>
    <w:rsid w:val="0078105F"/>
    <w:rsid w:val="007B1DD4"/>
    <w:rsid w:val="007C003C"/>
    <w:rsid w:val="007D2332"/>
    <w:rsid w:val="00800CAF"/>
    <w:rsid w:val="00802954"/>
    <w:rsid w:val="00806E73"/>
    <w:rsid w:val="00807F0E"/>
    <w:rsid w:val="008108F2"/>
    <w:rsid w:val="00812CA4"/>
    <w:rsid w:val="00823511"/>
    <w:rsid w:val="00841951"/>
    <w:rsid w:val="00850613"/>
    <w:rsid w:val="00854F80"/>
    <w:rsid w:val="00864563"/>
    <w:rsid w:val="00871194"/>
    <w:rsid w:val="00887356"/>
    <w:rsid w:val="00893CC9"/>
    <w:rsid w:val="008A2A40"/>
    <w:rsid w:val="008A350C"/>
    <w:rsid w:val="008B470E"/>
    <w:rsid w:val="008C0276"/>
    <w:rsid w:val="008C3162"/>
    <w:rsid w:val="008D0945"/>
    <w:rsid w:val="008D0B3E"/>
    <w:rsid w:val="008F5248"/>
    <w:rsid w:val="00900F8A"/>
    <w:rsid w:val="009224D1"/>
    <w:rsid w:val="00925786"/>
    <w:rsid w:val="00932906"/>
    <w:rsid w:val="00936056"/>
    <w:rsid w:val="0094263D"/>
    <w:rsid w:val="009440B6"/>
    <w:rsid w:val="00946BCE"/>
    <w:rsid w:val="00954596"/>
    <w:rsid w:val="00966439"/>
    <w:rsid w:val="00970AEC"/>
    <w:rsid w:val="00980963"/>
    <w:rsid w:val="00993711"/>
    <w:rsid w:val="009A537D"/>
    <w:rsid w:val="009A54F5"/>
    <w:rsid w:val="009E1B4A"/>
    <w:rsid w:val="009F5DE0"/>
    <w:rsid w:val="009F6FD7"/>
    <w:rsid w:val="00A13D75"/>
    <w:rsid w:val="00A15E09"/>
    <w:rsid w:val="00A275CC"/>
    <w:rsid w:val="00A44B80"/>
    <w:rsid w:val="00A54A8E"/>
    <w:rsid w:val="00A55001"/>
    <w:rsid w:val="00A76C95"/>
    <w:rsid w:val="00A90AF7"/>
    <w:rsid w:val="00A928F5"/>
    <w:rsid w:val="00AA5FE5"/>
    <w:rsid w:val="00AA7851"/>
    <w:rsid w:val="00AC2D46"/>
    <w:rsid w:val="00AD6538"/>
    <w:rsid w:val="00AF05CD"/>
    <w:rsid w:val="00AF1ADD"/>
    <w:rsid w:val="00B00EF3"/>
    <w:rsid w:val="00B25747"/>
    <w:rsid w:val="00B3606A"/>
    <w:rsid w:val="00B41B56"/>
    <w:rsid w:val="00B72B6A"/>
    <w:rsid w:val="00B8211D"/>
    <w:rsid w:val="00B90F05"/>
    <w:rsid w:val="00B95E1D"/>
    <w:rsid w:val="00BB097A"/>
    <w:rsid w:val="00BC6E65"/>
    <w:rsid w:val="00BD75F7"/>
    <w:rsid w:val="00C113A7"/>
    <w:rsid w:val="00C55773"/>
    <w:rsid w:val="00C64861"/>
    <w:rsid w:val="00C67296"/>
    <w:rsid w:val="00C81025"/>
    <w:rsid w:val="00C85469"/>
    <w:rsid w:val="00C8578B"/>
    <w:rsid w:val="00C85F77"/>
    <w:rsid w:val="00CA78AD"/>
    <w:rsid w:val="00CE45CA"/>
    <w:rsid w:val="00CE6166"/>
    <w:rsid w:val="00CF6676"/>
    <w:rsid w:val="00D01117"/>
    <w:rsid w:val="00D02175"/>
    <w:rsid w:val="00D309C3"/>
    <w:rsid w:val="00D32FFC"/>
    <w:rsid w:val="00D40EFF"/>
    <w:rsid w:val="00D5069F"/>
    <w:rsid w:val="00D71784"/>
    <w:rsid w:val="00D761C1"/>
    <w:rsid w:val="00D96B19"/>
    <w:rsid w:val="00DB70D2"/>
    <w:rsid w:val="00DB7EDA"/>
    <w:rsid w:val="00DC35E6"/>
    <w:rsid w:val="00E17164"/>
    <w:rsid w:val="00E21B4F"/>
    <w:rsid w:val="00E47F32"/>
    <w:rsid w:val="00E52781"/>
    <w:rsid w:val="00E53A53"/>
    <w:rsid w:val="00E71564"/>
    <w:rsid w:val="00E879E1"/>
    <w:rsid w:val="00E97379"/>
    <w:rsid w:val="00EA53C5"/>
    <w:rsid w:val="00ED4906"/>
    <w:rsid w:val="00ED5CCF"/>
    <w:rsid w:val="00EE5180"/>
    <w:rsid w:val="00EF7FF3"/>
    <w:rsid w:val="00F05151"/>
    <w:rsid w:val="00F15A03"/>
    <w:rsid w:val="00F75F2F"/>
    <w:rsid w:val="00FC02B1"/>
    <w:rsid w:val="00FC5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8">
    <w:name w:val="CM18"/>
    <w:basedOn w:val="Normal"/>
    <w:next w:val="Normal"/>
    <w:uiPriority w:val="99"/>
    <w:rsid w:val="00D5069F"/>
    <w:pPr>
      <w:widowControl w:val="0"/>
      <w:autoSpaceDE w:val="0"/>
      <w:autoSpaceDN w:val="0"/>
      <w:adjustRightInd w:val="0"/>
      <w:spacing w:after="0" w:line="240" w:lineRule="auto"/>
    </w:pPr>
    <w:rPr>
      <w:rFonts w:eastAsiaTheme="minorEastAsia"/>
    </w:rPr>
  </w:style>
  <w:style w:type="paragraph" w:customStyle="1" w:styleId="Default">
    <w:name w:val="Default"/>
    <w:rsid w:val="00C113A7"/>
    <w:pPr>
      <w:autoSpaceDE w:val="0"/>
      <w:autoSpaceDN w:val="0"/>
      <w:adjustRightInd w:val="0"/>
      <w:spacing w:after="0" w:line="240" w:lineRule="auto"/>
    </w:pPr>
    <w:rPr>
      <w:rFonts w:ascii="Times New Roman" w:hAnsi="Times New Roman" w:cs="Times New Roman"/>
      <w:color w:val="000000"/>
    </w:rPr>
  </w:style>
  <w:style w:type="paragraph" w:customStyle="1" w:styleId="CM15">
    <w:name w:val="CM15"/>
    <w:basedOn w:val="Default"/>
    <w:next w:val="Default"/>
    <w:uiPriority w:val="99"/>
    <w:rsid w:val="00864563"/>
    <w:pPr>
      <w:widowControl w:val="0"/>
    </w:pPr>
    <w:rPr>
      <w:rFonts w:ascii="Arial" w:eastAsiaTheme="minorEastAsia" w:hAnsi="Arial" w:cs="Arial"/>
      <w:color w:val="auto"/>
    </w:rPr>
  </w:style>
  <w:style w:type="paragraph" w:customStyle="1" w:styleId="CM16">
    <w:name w:val="CM16"/>
    <w:basedOn w:val="Default"/>
    <w:next w:val="Default"/>
    <w:uiPriority w:val="99"/>
    <w:rsid w:val="00864563"/>
    <w:pPr>
      <w:widowControl w:val="0"/>
    </w:pPr>
    <w:rPr>
      <w:rFonts w:ascii="Arial" w:eastAsiaTheme="minorEastAsia" w:hAnsi="Arial" w:cs="Arial"/>
      <w:color w:val="auto"/>
    </w:rPr>
  </w:style>
  <w:style w:type="paragraph" w:customStyle="1" w:styleId="CM19">
    <w:name w:val="CM19"/>
    <w:basedOn w:val="Default"/>
    <w:next w:val="Default"/>
    <w:uiPriority w:val="99"/>
    <w:rsid w:val="00864563"/>
    <w:pPr>
      <w:widowControl w:val="0"/>
    </w:pPr>
    <w:rPr>
      <w:rFonts w:ascii="Arial" w:eastAsiaTheme="minorEastAsia" w:hAnsi="Arial" w:cs="Arial"/>
      <w:color w:val="auto"/>
    </w:rPr>
  </w:style>
  <w:style w:type="paragraph" w:customStyle="1" w:styleId="CM20">
    <w:name w:val="CM20"/>
    <w:basedOn w:val="Default"/>
    <w:next w:val="Default"/>
    <w:uiPriority w:val="99"/>
    <w:rsid w:val="00864563"/>
    <w:pPr>
      <w:widowControl w:val="0"/>
    </w:pPr>
    <w:rPr>
      <w:rFonts w:ascii="Arial" w:eastAsiaTheme="minorEastAsia" w:hAnsi="Arial" w:cs="Arial"/>
      <w:color w:val="auto"/>
    </w:rPr>
  </w:style>
  <w:style w:type="paragraph" w:customStyle="1" w:styleId="CM22">
    <w:name w:val="CM22"/>
    <w:basedOn w:val="Default"/>
    <w:next w:val="Default"/>
    <w:uiPriority w:val="99"/>
    <w:rsid w:val="00864563"/>
    <w:pPr>
      <w:widowControl w:val="0"/>
    </w:pPr>
    <w:rPr>
      <w:rFonts w:ascii="Arial" w:eastAsiaTheme="minorEastAsia" w:hAnsi="Arial" w:cs="Arial"/>
      <w:color w:val="auto"/>
    </w:rPr>
  </w:style>
  <w:style w:type="paragraph" w:styleId="BalloonText">
    <w:name w:val="Balloon Text"/>
    <w:basedOn w:val="Normal"/>
    <w:link w:val="BalloonTextChar"/>
    <w:uiPriority w:val="99"/>
    <w:semiHidden/>
    <w:unhideWhenUsed/>
    <w:rsid w:val="00CE4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5CA"/>
    <w:rPr>
      <w:rFonts w:ascii="Tahoma" w:hAnsi="Tahoma" w:cs="Tahoma"/>
      <w:sz w:val="16"/>
      <w:szCs w:val="16"/>
    </w:rPr>
  </w:style>
  <w:style w:type="character" w:styleId="CommentReference">
    <w:name w:val="annotation reference"/>
    <w:basedOn w:val="DefaultParagraphFont"/>
    <w:uiPriority w:val="99"/>
    <w:semiHidden/>
    <w:unhideWhenUsed/>
    <w:rsid w:val="00CE45CA"/>
    <w:rPr>
      <w:sz w:val="16"/>
      <w:szCs w:val="16"/>
    </w:rPr>
  </w:style>
  <w:style w:type="paragraph" w:styleId="CommentText">
    <w:name w:val="annotation text"/>
    <w:basedOn w:val="Normal"/>
    <w:link w:val="CommentTextChar"/>
    <w:uiPriority w:val="99"/>
    <w:semiHidden/>
    <w:unhideWhenUsed/>
    <w:rsid w:val="00CE45CA"/>
    <w:pPr>
      <w:spacing w:line="240" w:lineRule="auto"/>
    </w:pPr>
    <w:rPr>
      <w:sz w:val="20"/>
      <w:szCs w:val="20"/>
    </w:rPr>
  </w:style>
  <w:style w:type="character" w:customStyle="1" w:styleId="CommentTextChar">
    <w:name w:val="Comment Text Char"/>
    <w:basedOn w:val="DefaultParagraphFont"/>
    <w:link w:val="CommentText"/>
    <w:uiPriority w:val="99"/>
    <w:semiHidden/>
    <w:rsid w:val="00CE45CA"/>
    <w:rPr>
      <w:sz w:val="20"/>
      <w:szCs w:val="20"/>
    </w:rPr>
  </w:style>
  <w:style w:type="paragraph" w:styleId="CommentSubject">
    <w:name w:val="annotation subject"/>
    <w:basedOn w:val="CommentText"/>
    <w:next w:val="CommentText"/>
    <w:link w:val="CommentSubjectChar"/>
    <w:uiPriority w:val="99"/>
    <w:semiHidden/>
    <w:unhideWhenUsed/>
    <w:rsid w:val="00CE45CA"/>
    <w:rPr>
      <w:b/>
      <w:bCs/>
    </w:rPr>
  </w:style>
  <w:style w:type="character" w:customStyle="1" w:styleId="CommentSubjectChar">
    <w:name w:val="Comment Subject Char"/>
    <w:basedOn w:val="CommentTextChar"/>
    <w:link w:val="CommentSubject"/>
    <w:uiPriority w:val="99"/>
    <w:semiHidden/>
    <w:rsid w:val="00CE45CA"/>
    <w:rPr>
      <w:b/>
      <w:bCs/>
      <w:sz w:val="20"/>
      <w:szCs w:val="20"/>
    </w:rPr>
  </w:style>
  <w:style w:type="paragraph" w:styleId="Header">
    <w:name w:val="header"/>
    <w:basedOn w:val="Normal"/>
    <w:link w:val="HeaderChar"/>
    <w:uiPriority w:val="99"/>
    <w:unhideWhenUsed/>
    <w:rsid w:val="00A27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5CC"/>
  </w:style>
  <w:style w:type="paragraph" w:styleId="Footer">
    <w:name w:val="footer"/>
    <w:basedOn w:val="Normal"/>
    <w:link w:val="FooterChar"/>
    <w:uiPriority w:val="99"/>
    <w:unhideWhenUsed/>
    <w:rsid w:val="00A2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5CC"/>
  </w:style>
  <w:style w:type="character" w:styleId="Hyperlink">
    <w:name w:val="Hyperlink"/>
    <w:basedOn w:val="DefaultParagraphFont"/>
    <w:uiPriority w:val="99"/>
    <w:unhideWhenUsed/>
    <w:rsid w:val="00652D0D"/>
    <w:rPr>
      <w:color w:val="0563C1" w:themeColor="hyperlink"/>
      <w:u w:val="single"/>
    </w:rPr>
  </w:style>
  <w:style w:type="paragraph" w:styleId="ListParagraph">
    <w:name w:val="List Paragraph"/>
    <w:basedOn w:val="Normal"/>
    <w:uiPriority w:val="34"/>
    <w:qFormat/>
    <w:rsid w:val="004506B1"/>
    <w:pPr>
      <w:ind w:left="720"/>
      <w:contextualSpacing/>
    </w:pPr>
  </w:style>
  <w:style w:type="paragraph" w:styleId="Revision">
    <w:name w:val="Revision"/>
    <w:hidden/>
    <w:uiPriority w:val="99"/>
    <w:semiHidden/>
    <w:rsid w:val="004506B1"/>
    <w:pPr>
      <w:spacing w:after="0" w:line="240" w:lineRule="auto"/>
    </w:pPr>
  </w:style>
  <w:style w:type="paragraph" w:customStyle="1" w:styleId="CM2">
    <w:name w:val="CM2"/>
    <w:basedOn w:val="Default"/>
    <w:next w:val="Default"/>
    <w:uiPriority w:val="99"/>
    <w:rsid w:val="008F5248"/>
    <w:pPr>
      <w:widowControl w:val="0"/>
    </w:pPr>
    <w:rPr>
      <w:rFonts w:ascii="Avenir Heavy" w:eastAsiaTheme="minorEastAsia" w:hAnsi="Avenir Heavy"/>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8">
    <w:name w:val="CM18"/>
    <w:basedOn w:val="Normal"/>
    <w:next w:val="Normal"/>
    <w:uiPriority w:val="99"/>
    <w:rsid w:val="00D5069F"/>
    <w:pPr>
      <w:widowControl w:val="0"/>
      <w:autoSpaceDE w:val="0"/>
      <w:autoSpaceDN w:val="0"/>
      <w:adjustRightInd w:val="0"/>
      <w:spacing w:after="0" w:line="240" w:lineRule="auto"/>
    </w:pPr>
    <w:rPr>
      <w:rFonts w:eastAsiaTheme="minorEastAsia"/>
    </w:rPr>
  </w:style>
  <w:style w:type="paragraph" w:customStyle="1" w:styleId="Default">
    <w:name w:val="Default"/>
    <w:rsid w:val="00C113A7"/>
    <w:pPr>
      <w:autoSpaceDE w:val="0"/>
      <w:autoSpaceDN w:val="0"/>
      <w:adjustRightInd w:val="0"/>
      <w:spacing w:after="0" w:line="240" w:lineRule="auto"/>
    </w:pPr>
    <w:rPr>
      <w:rFonts w:ascii="Times New Roman" w:hAnsi="Times New Roman" w:cs="Times New Roman"/>
      <w:color w:val="000000"/>
    </w:rPr>
  </w:style>
  <w:style w:type="paragraph" w:customStyle="1" w:styleId="CM15">
    <w:name w:val="CM15"/>
    <w:basedOn w:val="Default"/>
    <w:next w:val="Default"/>
    <w:uiPriority w:val="99"/>
    <w:rsid w:val="00864563"/>
    <w:pPr>
      <w:widowControl w:val="0"/>
    </w:pPr>
    <w:rPr>
      <w:rFonts w:ascii="Arial" w:eastAsiaTheme="minorEastAsia" w:hAnsi="Arial" w:cs="Arial"/>
      <w:color w:val="auto"/>
    </w:rPr>
  </w:style>
  <w:style w:type="paragraph" w:customStyle="1" w:styleId="CM16">
    <w:name w:val="CM16"/>
    <w:basedOn w:val="Default"/>
    <w:next w:val="Default"/>
    <w:uiPriority w:val="99"/>
    <w:rsid w:val="00864563"/>
    <w:pPr>
      <w:widowControl w:val="0"/>
    </w:pPr>
    <w:rPr>
      <w:rFonts w:ascii="Arial" w:eastAsiaTheme="minorEastAsia" w:hAnsi="Arial" w:cs="Arial"/>
      <w:color w:val="auto"/>
    </w:rPr>
  </w:style>
  <w:style w:type="paragraph" w:customStyle="1" w:styleId="CM19">
    <w:name w:val="CM19"/>
    <w:basedOn w:val="Default"/>
    <w:next w:val="Default"/>
    <w:uiPriority w:val="99"/>
    <w:rsid w:val="00864563"/>
    <w:pPr>
      <w:widowControl w:val="0"/>
    </w:pPr>
    <w:rPr>
      <w:rFonts w:ascii="Arial" w:eastAsiaTheme="minorEastAsia" w:hAnsi="Arial" w:cs="Arial"/>
      <w:color w:val="auto"/>
    </w:rPr>
  </w:style>
  <w:style w:type="paragraph" w:customStyle="1" w:styleId="CM20">
    <w:name w:val="CM20"/>
    <w:basedOn w:val="Default"/>
    <w:next w:val="Default"/>
    <w:uiPriority w:val="99"/>
    <w:rsid w:val="00864563"/>
    <w:pPr>
      <w:widowControl w:val="0"/>
    </w:pPr>
    <w:rPr>
      <w:rFonts w:ascii="Arial" w:eastAsiaTheme="minorEastAsia" w:hAnsi="Arial" w:cs="Arial"/>
      <w:color w:val="auto"/>
    </w:rPr>
  </w:style>
  <w:style w:type="paragraph" w:customStyle="1" w:styleId="CM22">
    <w:name w:val="CM22"/>
    <w:basedOn w:val="Default"/>
    <w:next w:val="Default"/>
    <w:uiPriority w:val="99"/>
    <w:rsid w:val="00864563"/>
    <w:pPr>
      <w:widowControl w:val="0"/>
    </w:pPr>
    <w:rPr>
      <w:rFonts w:ascii="Arial" w:eastAsiaTheme="minorEastAsia" w:hAnsi="Arial" w:cs="Arial"/>
      <w:color w:val="auto"/>
    </w:rPr>
  </w:style>
  <w:style w:type="paragraph" w:styleId="BalloonText">
    <w:name w:val="Balloon Text"/>
    <w:basedOn w:val="Normal"/>
    <w:link w:val="BalloonTextChar"/>
    <w:uiPriority w:val="99"/>
    <w:semiHidden/>
    <w:unhideWhenUsed/>
    <w:rsid w:val="00CE4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5CA"/>
    <w:rPr>
      <w:rFonts w:ascii="Tahoma" w:hAnsi="Tahoma" w:cs="Tahoma"/>
      <w:sz w:val="16"/>
      <w:szCs w:val="16"/>
    </w:rPr>
  </w:style>
  <w:style w:type="character" w:styleId="CommentReference">
    <w:name w:val="annotation reference"/>
    <w:basedOn w:val="DefaultParagraphFont"/>
    <w:uiPriority w:val="99"/>
    <w:semiHidden/>
    <w:unhideWhenUsed/>
    <w:rsid w:val="00CE45CA"/>
    <w:rPr>
      <w:sz w:val="16"/>
      <w:szCs w:val="16"/>
    </w:rPr>
  </w:style>
  <w:style w:type="paragraph" w:styleId="CommentText">
    <w:name w:val="annotation text"/>
    <w:basedOn w:val="Normal"/>
    <w:link w:val="CommentTextChar"/>
    <w:uiPriority w:val="99"/>
    <w:semiHidden/>
    <w:unhideWhenUsed/>
    <w:rsid w:val="00CE45CA"/>
    <w:pPr>
      <w:spacing w:line="240" w:lineRule="auto"/>
    </w:pPr>
    <w:rPr>
      <w:sz w:val="20"/>
      <w:szCs w:val="20"/>
    </w:rPr>
  </w:style>
  <w:style w:type="character" w:customStyle="1" w:styleId="CommentTextChar">
    <w:name w:val="Comment Text Char"/>
    <w:basedOn w:val="DefaultParagraphFont"/>
    <w:link w:val="CommentText"/>
    <w:uiPriority w:val="99"/>
    <w:semiHidden/>
    <w:rsid w:val="00CE45CA"/>
    <w:rPr>
      <w:sz w:val="20"/>
      <w:szCs w:val="20"/>
    </w:rPr>
  </w:style>
  <w:style w:type="paragraph" w:styleId="CommentSubject">
    <w:name w:val="annotation subject"/>
    <w:basedOn w:val="CommentText"/>
    <w:next w:val="CommentText"/>
    <w:link w:val="CommentSubjectChar"/>
    <w:uiPriority w:val="99"/>
    <w:semiHidden/>
    <w:unhideWhenUsed/>
    <w:rsid w:val="00CE45CA"/>
    <w:rPr>
      <w:b/>
      <w:bCs/>
    </w:rPr>
  </w:style>
  <w:style w:type="character" w:customStyle="1" w:styleId="CommentSubjectChar">
    <w:name w:val="Comment Subject Char"/>
    <w:basedOn w:val="CommentTextChar"/>
    <w:link w:val="CommentSubject"/>
    <w:uiPriority w:val="99"/>
    <w:semiHidden/>
    <w:rsid w:val="00CE45CA"/>
    <w:rPr>
      <w:b/>
      <w:bCs/>
      <w:sz w:val="20"/>
      <w:szCs w:val="20"/>
    </w:rPr>
  </w:style>
  <w:style w:type="paragraph" w:styleId="Header">
    <w:name w:val="header"/>
    <w:basedOn w:val="Normal"/>
    <w:link w:val="HeaderChar"/>
    <w:uiPriority w:val="99"/>
    <w:unhideWhenUsed/>
    <w:rsid w:val="00A27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5CC"/>
  </w:style>
  <w:style w:type="paragraph" w:styleId="Footer">
    <w:name w:val="footer"/>
    <w:basedOn w:val="Normal"/>
    <w:link w:val="FooterChar"/>
    <w:uiPriority w:val="99"/>
    <w:unhideWhenUsed/>
    <w:rsid w:val="00A2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5CC"/>
  </w:style>
  <w:style w:type="character" w:styleId="Hyperlink">
    <w:name w:val="Hyperlink"/>
    <w:basedOn w:val="DefaultParagraphFont"/>
    <w:uiPriority w:val="99"/>
    <w:unhideWhenUsed/>
    <w:rsid w:val="00652D0D"/>
    <w:rPr>
      <w:color w:val="0563C1" w:themeColor="hyperlink"/>
      <w:u w:val="single"/>
    </w:rPr>
  </w:style>
  <w:style w:type="paragraph" w:styleId="ListParagraph">
    <w:name w:val="List Paragraph"/>
    <w:basedOn w:val="Normal"/>
    <w:uiPriority w:val="34"/>
    <w:qFormat/>
    <w:rsid w:val="004506B1"/>
    <w:pPr>
      <w:ind w:left="720"/>
      <w:contextualSpacing/>
    </w:pPr>
  </w:style>
  <w:style w:type="paragraph" w:styleId="Revision">
    <w:name w:val="Revision"/>
    <w:hidden/>
    <w:uiPriority w:val="99"/>
    <w:semiHidden/>
    <w:rsid w:val="004506B1"/>
    <w:pPr>
      <w:spacing w:after="0" w:line="240" w:lineRule="auto"/>
    </w:pPr>
  </w:style>
  <w:style w:type="paragraph" w:customStyle="1" w:styleId="CM2">
    <w:name w:val="CM2"/>
    <w:basedOn w:val="Default"/>
    <w:next w:val="Default"/>
    <w:uiPriority w:val="99"/>
    <w:rsid w:val="008F5248"/>
    <w:pPr>
      <w:widowControl w:val="0"/>
    </w:pPr>
    <w:rPr>
      <w:rFonts w:ascii="Avenir Heavy" w:eastAsiaTheme="minorEastAsia" w:hAnsi="Avenir Heavy"/>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0EFFB-942C-48DD-A543-5AE0D2E5A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The University of Alabama in Huntsville</Company>
  <LinksUpToDate>false</LinksUpToDate>
  <CharactersWithSpaces>14934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Bower</dc:creator>
  <cp:lastModifiedBy>ProvOfficeLaptop</cp:lastModifiedBy>
  <cp:revision>2</cp:revision>
  <cp:lastPrinted>2016-07-21T16:23:00Z</cp:lastPrinted>
  <dcterms:created xsi:type="dcterms:W3CDTF">2016-09-07T21:55:00Z</dcterms:created>
  <dcterms:modified xsi:type="dcterms:W3CDTF">2016-09-07T21:55:00Z</dcterms:modified>
</cp:coreProperties>
</file>