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A6" w:rsidRDefault="00A53CA6" w:rsidP="00A53CA6">
      <w:pPr>
        <w:autoSpaceDE w:val="0"/>
        <w:autoSpaceDN w:val="0"/>
        <w:adjustRightInd w:val="0"/>
        <w:spacing w:before="100" w:after="100" w:line="240" w:lineRule="auto"/>
        <w:rPr>
          <w:rFonts w:ascii="Cambria" w:hAnsi="Cambria" w:cs="Cambria"/>
          <w:b/>
          <w:bCs/>
          <w:color w:val="000000"/>
          <w:sz w:val="24"/>
          <w:szCs w:val="24"/>
        </w:rPr>
      </w:pPr>
      <w:r>
        <w:rPr>
          <w:rFonts w:ascii="Cambria" w:hAnsi="Cambria" w:cs="Cambria"/>
          <w:b/>
          <w:bCs/>
          <w:color w:val="000000"/>
          <w:sz w:val="24"/>
          <w:szCs w:val="24"/>
        </w:rPr>
        <w:t>Appendix F – Peroxide Forming Chemicals and Test Methods for Peroxides</w:t>
      </w:r>
    </w:p>
    <w:p w:rsidR="00A53CA6" w:rsidRDefault="00A53CA6" w:rsidP="00A53CA6">
      <w:pPr>
        <w:autoSpaceDE w:val="0"/>
        <w:autoSpaceDN w:val="0"/>
        <w:adjustRightInd w:val="0"/>
        <w:spacing w:before="100" w:after="100" w:line="240" w:lineRule="auto"/>
        <w:rPr>
          <w:rFonts w:ascii="Cambria" w:hAnsi="Cambria" w:cs="Cambria"/>
          <w:b/>
          <w:bCs/>
          <w:color w:val="000000"/>
          <w:sz w:val="24"/>
          <w:szCs w:val="24"/>
        </w:rPr>
      </w:pPr>
    </w:p>
    <w:p w:rsidR="00A53CA6" w:rsidRPr="00A53CA6" w:rsidRDefault="00A53CA6" w:rsidP="00A53CA6">
      <w:pPr>
        <w:autoSpaceDE w:val="0"/>
        <w:autoSpaceDN w:val="0"/>
        <w:adjustRightInd w:val="0"/>
        <w:spacing w:before="100" w:after="100" w:line="240" w:lineRule="auto"/>
        <w:rPr>
          <w:rFonts w:ascii="Cambria" w:hAnsi="Cambria" w:cs="Cambria"/>
          <w:color w:val="000000"/>
          <w:sz w:val="24"/>
          <w:szCs w:val="24"/>
        </w:rPr>
      </w:pPr>
      <w:r w:rsidRPr="00A53CA6">
        <w:rPr>
          <w:rFonts w:ascii="Cambria" w:hAnsi="Cambria" w:cs="Cambria"/>
          <w:b/>
          <w:bCs/>
          <w:color w:val="000000"/>
          <w:sz w:val="24"/>
          <w:szCs w:val="24"/>
        </w:rPr>
        <w:t xml:space="preserve">PEROXIDE FORMING CHEMICALS </w:t>
      </w:r>
    </w:p>
    <w:tbl>
      <w:tblPr>
        <w:tblW w:w="7875"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600"/>
        <w:gridCol w:w="4275"/>
      </w:tblGrid>
      <w:tr w:rsidR="00A53CA6" w:rsidRPr="00A53CA6" w:rsidTr="00441E28">
        <w:trPr>
          <w:trHeight w:val="465"/>
          <w:tblCellSpacing w:w="15" w:type="dxa"/>
        </w:trPr>
        <w:tc>
          <w:tcPr>
            <w:tcW w:w="7815" w:type="dxa"/>
            <w:gridSpan w:val="2"/>
            <w:tcBorders>
              <w:top w:val="outset" w:sz="6" w:space="0" w:color="auto"/>
              <w:left w:val="outset" w:sz="6" w:space="0" w:color="auto"/>
              <w:bottom w:val="outset" w:sz="6" w:space="0" w:color="auto"/>
              <w:right w:val="outset" w:sz="6" w:space="0" w:color="auto"/>
            </w:tcBorders>
            <w:hideMark/>
          </w:tcPr>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i/>
                <w:iCs/>
                <w:sz w:val="24"/>
                <w:szCs w:val="24"/>
              </w:rPr>
              <w:t xml:space="preserve">Peroxide Hazard on Storage: </w:t>
            </w:r>
            <w:r w:rsidRPr="00A53CA6">
              <w:rPr>
                <w:rFonts w:ascii="Times New Roman" w:hAnsi="Times New Roman" w:cs="Times New Roman"/>
                <w:b/>
                <w:bCs/>
                <w:i/>
                <w:iCs/>
                <w:sz w:val="24"/>
                <w:szCs w:val="24"/>
              </w:rPr>
              <w:t>Discard After Three Months</w:t>
            </w:r>
          </w:p>
        </w:tc>
      </w:tr>
      <w:tr w:rsidR="00A53CA6" w:rsidRPr="00A53CA6" w:rsidTr="00441E28">
        <w:trPr>
          <w:trHeight w:val="1395"/>
          <w:tblCellSpacing w:w="15" w:type="dxa"/>
        </w:trPr>
        <w:tc>
          <w:tcPr>
            <w:tcW w:w="3555" w:type="dxa"/>
            <w:tcBorders>
              <w:top w:val="outset" w:sz="6" w:space="0" w:color="auto"/>
              <w:left w:val="outset" w:sz="6" w:space="0" w:color="auto"/>
              <w:bottom w:val="outset" w:sz="6" w:space="0" w:color="auto"/>
              <w:right w:val="outset" w:sz="6" w:space="0" w:color="auto"/>
            </w:tcBorders>
            <w:hideMark/>
          </w:tcPr>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Divinyl</w:t>
            </w:r>
            <w:proofErr w:type="spellEnd"/>
            <w:r w:rsidRPr="00A53CA6">
              <w:rPr>
                <w:rFonts w:ascii="Times New Roman" w:hAnsi="Times New Roman" w:cs="Times New Roman"/>
                <w:sz w:val="24"/>
                <w:szCs w:val="24"/>
              </w:rPr>
              <w:t xml:space="preserve"> acetylene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Divinyl</w:t>
            </w:r>
            <w:proofErr w:type="spellEnd"/>
            <w:r w:rsidRPr="00A53CA6">
              <w:rPr>
                <w:rFonts w:ascii="Times New Roman" w:hAnsi="Times New Roman" w:cs="Times New Roman"/>
                <w:sz w:val="24"/>
                <w:szCs w:val="24"/>
              </w:rPr>
              <w:t xml:space="preserve"> ether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Isopropyl ether</w:t>
            </w:r>
          </w:p>
        </w:tc>
        <w:tc>
          <w:tcPr>
            <w:tcW w:w="4230" w:type="dxa"/>
            <w:tcBorders>
              <w:top w:val="outset" w:sz="6" w:space="0" w:color="auto"/>
              <w:left w:val="outset" w:sz="6" w:space="0" w:color="auto"/>
              <w:bottom w:val="outset" w:sz="6" w:space="0" w:color="auto"/>
              <w:right w:val="outset" w:sz="6" w:space="0" w:color="auto"/>
            </w:tcBorders>
            <w:hideMark/>
          </w:tcPr>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Potassium metal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Sodium amide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Vinylidene</w:t>
            </w:r>
            <w:proofErr w:type="spellEnd"/>
            <w:r w:rsidRPr="00A53CA6">
              <w:rPr>
                <w:rFonts w:ascii="Times New Roman" w:hAnsi="Times New Roman" w:cs="Times New Roman"/>
                <w:sz w:val="24"/>
                <w:szCs w:val="24"/>
              </w:rPr>
              <w:t xml:space="preserve"> chloride</w:t>
            </w:r>
          </w:p>
        </w:tc>
      </w:tr>
      <w:tr w:rsidR="00A53CA6" w:rsidRPr="00A53CA6" w:rsidTr="00441E28">
        <w:trPr>
          <w:trHeight w:val="468"/>
          <w:tblCellSpacing w:w="15" w:type="dxa"/>
        </w:trPr>
        <w:tc>
          <w:tcPr>
            <w:tcW w:w="7815" w:type="dxa"/>
            <w:gridSpan w:val="2"/>
            <w:tcBorders>
              <w:top w:val="outset" w:sz="6" w:space="0" w:color="auto"/>
              <w:left w:val="outset" w:sz="6" w:space="0" w:color="auto"/>
              <w:bottom w:val="outset" w:sz="6" w:space="0" w:color="auto"/>
              <w:right w:val="outset" w:sz="6" w:space="0" w:color="auto"/>
            </w:tcBorders>
            <w:hideMark/>
          </w:tcPr>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i/>
                <w:iCs/>
                <w:sz w:val="24"/>
                <w:szCs w:val="24"/>
              </w:rPr>
              <w:t xml:space="preserve">Peroxide Hazard on Concentration: </w:t>
            </w:r>
            <w:r w:rsidRPr="00A53CA6">
              <w:rPr>
                <w:rFonts w:ascii="Times New Roman" w:hAnsi="Times New Roman" w:cs="Times New Roman"/>
                <w:b/>
                <w:bCs/>
                <w:i/>
                <w:iCs/>
                <w:sz w:val="24"/>
                <w:szCs w:val="24"/>
              </w:rPr>
              <w:t>Discard After One Year</w:t>
            </w:r>
          </w:p>
        </w:tc>
      </w:tr>
      <w:tr w:rsidR="00A53CA6" w:rsidRPr="00A53CA6" w:rsidTr="00441E28">
        <w:trPr>
          <w:trHeight w:val="5985"/>
          <w:tblCellSpacing w:w="15" w:type="dxa"/>
        </w:trPr>
        <w:tc>
          <w:tcPr>
            <w:tcW w:w="3555" w:type="dxa"/>
            <w:tcBorders>
              <w:top w:val="outset" w:sz="6" w:space="0" w:color="auto"/>
              <w:left w:val="outset" w:sz="6" w:space="0" w:color="auto"/>
              <w:bottom w:val="outset" w:sz="6" w:space="0" w:color="auto"/>
              <w:right w:val="outset" w:sz="6" w:space="0" w:color="auto"/>
            </w:tcBorders>
            <w:hideMark/>
          </w:tcPr>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Acetal</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Cumene</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Cyclohexene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Cyclooxyene</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Cyclopentene</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Diacetylene</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Dicyclopentadiene</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Diethyl ether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Diethylene</w:t>
            </w:r>
            <w:proofErr w:type="spellEnd"/>
            <w:r w:rsidRPr="00A53CA6">
              <w:rPr>
                <w:rFonts w:ascii="Times New Roman" w:hAnsi="Times New Roman" w:cs="Times New Roman"/>
                <w:sz w:val="24"/>
                <w:szCs w:val="24"/>
              </w:rPr>
              <w:t xml:space="preserve"> glycol dimethyl ether (</w:t>
            </w:r>
            <w:proofErr w:type="spellStart"/>
            <w:r w:rsidRPr="00A53CA6">
              <w:rPr>
                <w:rFonts w:ascii="Times New Roman" w:hAnsi="Times New Roman" w:cs="Times New Roman"/>
                <w:sz w:val="24"/>
                <w:szCs w:val="24"/>
              </w:rPr>
              <w:t>diglyme</w:t>
            </w:r>
            <w:proofErr w:type="spellEnd"/>
            <w:r w:rsidRPr="00A53CA6">
              <w:rPr>
                <w:rFonts w:ascii="Times New Roman" w:hAnsi="Times New Roman" w:cs="Times New Roman"/>
                <w:sz w:val="24"/>
                <w:szCs w:val="24"/>
              </w:rPr>
              <w:t>)</w:t>
            </w:r>
          </w:p>
        </w:tc>
        <w:tc>
          <w:tcPr>
            <w:tcW w:w="4230" w:type="dxa"/>
            <w:tcBorders>
              <w:top w:val="outset" w:sz="6" w:space="0" w:color="auto"/>
              <w:left w:val="outset" w:sz="6" w:space="0" w:color="auto"/>
              <w:bottom w:val="outset" w:sz="6" w:space="0" w:color="auto"/>
              <w:right w:val="outset" w:sz="6" w:space="0" w:color="auto"/>
            </w:tcBorders>
            <w:hideMark/>
          </w:tcPr>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Dioxane</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Ethylene glycol dimethyl ether (</w:t>
            </w:r>
            <w:proofErr w:type="spellStart"/>
            <w:r w:rsidRPr="00A53CA6">
              <w:rPr>
                <w:rFonts w:ascii="Times New Roman" w:hAnsi="Times New Roman" w:cs="Times New Roman"/>
                <w:sz w:val="24"/>
                <w:szCs w:val="24"/>
              </w:rPr>
              <w:t>glyme</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Furan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Methyl acetylene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Methylcyclopentane</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Methyl isobutyl ketone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Tetrahydronaphtalene</w:t>
            </w:r>
            <w:proofErr w:type="spellEnd"/>
            <w:r w:rsidRPr="00A53CA6">
              <w:rPr>
                <w:rFonts w:ascii="Times New Roman" w:hAnsi="Times New Roman" w:cs="Times New Roman"/>
                <w:sz w:val="24"/>
                <w:szCs w:val="24"/>
              </w:rPr>
              <w:t xml:space="preserve"> (</w:t>
            </w:r>
            <w:proofErr w:type="spellStart"/>
            <w:r w:rsidRPr="00A53CA6">
              <w:rPr>
                <w:rFonts w:ascii="Times New Roman" w:hAnsi="Times New Roman" w:cs="Times New Roman"/>
                <w:sz w:val="24"/>
                <w:szCs w:val="24"/>
              </w:rPr>
              <w:t>Tetralin</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Tetrahydrofuran</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Vinyl ethers</w:t>
            </w:r>
          </w:p>
        </w:tc>
      </w:tr>
      <w:tr w:rsidR="00A53CA6" w:rsidRPr="00A53CA6" w:rsidTr="00441E28">
        <w:trPr>
          <w:tblCellSpacing w:w="15" w:type="dxa"/>
        </w:trPr>
        <w:tc>
          <w:tcPr>
            <w:tcW w:w="7815" w:type="dxa"/>
            <w:gridSpan w:val="2"/>
            <w:tcBorders>
              <w:top w:val="outset" w:sz="6" w:space="0" w:color="auto"/>
              <w:left w:val="outset" w:sz="6" w:space="0" w:color="auto"/>
              <w:bottom w:val="outset" w:sz="6" w:space="0" w:color="auto"/>
              <w:right w:val="outset" w:sz="6" w:space="0" w:color="auto"/>
            </w:tcBorders>
            <w:hideMark/>
          </w:tcPr>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Hazardous Due to Peroxide Initiation of Polymerization*:</w:t>
            </w:r>
            <w:r w:rsidRPr="00A53CA6">
              <w:rPr>
                <w:rFonts w:ascii="Times New Roman" w:hAnsi="Times New Roman" w:cs="Times New Roman"/>
                <w:b/>
                <w:bCs/>
                <w:i/>
                <w:iCs/>
                <w:sz w:val="24"/>
                <w:szCs w:val="24"/>
              </w:rPr>
              <w:t xml:space="preserve"> Discard After One Year</w:t>
            </w:r>
          </w:p>
        </w:tc>
      </w:tr>
      <w:tr w:rsidR="00A53CA6" w:rsidRPr="00A53CA6" w:rsidTr="00441E28">
        <w:trPr>
          <w:tblCellSpacing w:w="15" w:type="dxa"/>
        </w:trPr>
        <w:tc>
          <w:tcPr>
            <w:tcW w:w="3555" w:type="dxa"/>
            <w:tcBorders>
              <w:top w:val="outset" w:sz="6" w:space="0" w:color="auto"/>
              <w:left w:val="outset" w:sz="6" w:space="0" w:color="auto"/>
              <w:bottom w:val="outset" w:sz="6" w:space="0" w:color="auto"/>
              <w:right w:val="outset" w:sz="6" w:space="0" w:color="auto"/>
            </w:tcBorders>
            <w:hideMark/>
          </w:tcPr>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Acrylic acid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lastRenderedPageBreak/>
              <w:t xml:space="preserve">Acrylonitrile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Butadiene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Chloroprene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Chlorotrifluoroethylene</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Methyl methacrylate</w:t>
            </w:r>
          </w:p>
        </w:tc>
        <w:tc>
          <w:tcPr>
            <w:tcW w:w="4230" w:type="dxa"/>
            <w:tcBorders>
              <w:top w:val="outset" w:sz="6" w:space="0" w:color="auto"/>
              <w:left w:val="outset" w:sz="6" w:space="0" w:color="auto"/>
              <w:bottom w:val="outset" w:sz="6" w:space="0" w:color="auto"/>
              <w:right w:val="outset" w:sz="6" w:space="0" w:color="auto"/>
            </w:tcBorders>
            <w:hideMark/>
          </w:tcPr>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lastRenderedPageBreak/>
              <w:t xml:space="preserve">Styrene </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lastRenderedPageBreak/>
              <w:t>Tetrafluoroethylene</w:t>
            </w:r>
            <w:proofErr w:type="spellEnd"/>
            <w:r w:rsidRPr="00A53CA6">
              <w:rPr>
                <w:rFonts w:ascii="Times New Roman" w:hAnsi="Times New Roman" w:cs="Times New Roman"/>
                <w:sz w:val="24"/>
                <w:szCs w:val="24"/>
              </w:rPr>
              <w:t xml:space="preserv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Vinyl acetylene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Vinyl acetate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Vinyl chloride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Vinyl pyridine </w:t>
            </w:r>
          </w:p>
        </w:tc>
      </w:tr>
    </w:tbl>
    <w:p w:rsidR="00A53CA6" w:rsidRPr="00A53CA6" w:rsidRDefault="00A53CA6" w:rsidP="00A53CA6">
      <w:pPr>
        <w:jc w:val="both"/>
        <w:rPr>
          <w:rFonts w:ascii="Times New Roman" w:hAnsi="Times New Roman" w:cs="Times New Roman"/>
          <w:sz w:val="24"/>
          <w:szCs w:val="24"/>
        </w:rPr>
      </w:pP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b/>
          <w:bCs/>
          <w:sz w:val="24"/>
          <w:szCs w:val="24"/>
          <w:u w:val="single"/>
        </w:rPr>
        <w:t xml:space="preserve">Peroxide Testing Method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Peroxide forming compounds should be tested on a regular basis to detect the presence of peroxides before they reach dangerous concentrations. </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One testing method is the Redox test strip (available through </w:t>
      </w:r>
      <w:r w:rsidRPr="00A53CA6">
        <w:rPr>
          <w:rFonts w:ascii="Times New Roman" w:hAnsi="Times New Roman" w:cs="Times New Roman"/>
          <w:sz w:val="24"/>
          <w:szCs w:val="24"/>
          <w:u w:val="single"/>
        </w:rPr>
        <w:t xml:space="preserve">Sigma </w:t>
      </w:r>
      <w:proofErr w:type="gramStart"/>
      <w:r w:rsidRPr="00A53CA6">
        <w:rPr>
          <w:rFonts w:ascii="Times New Roman" w:hAnsi="Times New Roman" w:cs="Times New Roman"/>
          <w:sz w:val="24"/>
          <w:szCs w:val="24"/>
          <w:u w:val="single"/>
        </w:rPr>
        <w:t xml:space="preserve">Aldrich </w:t>
      </w:r>
      <w:r w:rsidRPr="00A53CA6">
        <w:rPr>
          <w:rFonts w:ascii="Times New Roman" w:hAnsi="Times New Roman" w:cs="Times New Roman"/>
          <w:sz w:val="24"/>
          <w:szCs w:val="24"/>
        </w:rPr>
        <w:t>)</w:t>
      </w:r>
      <w:proofErr w:type="gramEnd"/>
      <w:r w:rsidRPr="00A53CA6">
        <w:rPr>
          <w:rFonts w:ascii="Times New Roman" w:hAnsi="Times New Roman" w:cs="Times New Roman"/>
          <w:sz w:val="24"/>
          <w:szCs w:val="24"/>
        </w:rPr>
        <w:t xml:space="preserve">. The strip contains the enzyme peroxidase which transfers oxygen from the peroxide to an organic redox indicator, which is then converted to a blue oxidation product. Follow manufacturer's instructions for testing and interpreting results. </w:t>
      </w:r>
    </w:p>
    <w:p w:rsidR="00A53CA6" w:rsidRPr="00A53CA6" w:rsidRDefault="00A53CA6" w:rsidP="00A53CA6">
      <w:pPr>
        <w:numPr>
          <w:ilvl w:val="0"/>
          <w:numId w:val="2"/>
        </w:numPr>
        <w:spacing w:after="0" w:line="240" w:lineRule="auto"/>
        <w:contextualSpacing/>
        <w:jc w:val="both"/>
        <w:rPr>
          <w:rFonts w:ascii="Times New Roman" w:eastAsia="Times New Roman" w:hAnsi="Times New Roman" w:cs="Times New Roman"/>
          <w:sz w:val="24"/>
          <w:szCs w:val="24"/>
        </w:rPr>
      </w:pPr>
      <w:r w:rsidRPr="00A53CA6">
        <w:rPr>
          <w:rFonts w:ascii="Times New Roman" w:eastAsia="Times New Roman" w:hAnsi="Times New Roman" w:cs="Times New Roman"/>
          <w:sz w:val="24"/>
          <w:szCs w:val="24"/>
        </w:rPr>
        <w:t xml:space="preserve">If the peroxide concentration is greater than 25 ppm, but less than 100 ppm, the chemical may be used, but DO NOT DISTILL OR CONCENTRATE. </w:t>
      </w:r>
    </w:p>
    <w:p w:rsidR="00A53CA6" w:rsidRPr="00A53CA6" w:rsidRDefault="00A53CA6" w:rsidP="00A53CA6">
      <w:pPr>
        <w:numPr>
          <w:ilvl w:val="0"/>
          <w:numId w:val="2"/>
        </w:numPr>
        <w:spacing w:after="0" w:line="240" w:lineRule="auto"/>
        <w:contextualSpacing/>
        <w:jc w:val="both"/>
        <w:rPr>
          <w:rFonts w:ascii="Times New Roman" w:eastAsia="Times New Roman" w:hAnsi="Times New Roman" w:cs="Times New Roman"/>
          <w:sz w:val="24"/>
          <w:szCs w:val="24"/>
        </w:rPr>
      </w:pPr>
      <w:r w:rsidRPr="00A53CA6">
        <w:rPr>
          <w:rFonts w:ascii="Times New Roman" w:eastAsia="Times New Roman" w:hAnsi="Times New Roman" w:cs="Times New Roman"/>
          <w:sz w:val="24"/>
          <w:szCs w:val="24"/>
        </w:rPr>
        <w:t xml:space="preserve">If the peroxide concentration is greater than 100 ppm, it should be considered as potentially explosive and should not be used. It should be disposed of as hazardous waste (see next section). </w:t>
      </w:r>
    </w:p>
    <w:p w:rsidR="00A53CA6" w:rsidRPr="00A53CA6" w:rsidRDefault="00A53CA6" w:rsidP="00A53CA6">
      <w:pPr>
        <w:jc w:val="both"/>
        <w:rPr>
          <w:rFonts w:ascii="Times New Roman" w:hAnsi="Times New Roman" w:cs="Times New Roman"/>
          <w:sz w:val="24"/>
          <w:szCs w:val="24"/>
        </w:rPr>
      </w:pP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The following is a discussion of several treatment methods:</w:t>
      </w:r>
    </w:p>
    <w:p w:rsidR="00A53CA6" w:rsidRPr="00A53CA6" w:rsidRDefault="00A53CA6" w:rsidP="00A53CA6">
      <w:pPr>
        <w:jc w:val="both"/>
        <w:rPr>
          <w:rFonts w:ascii="Times New Roman" w:hAnsi="Times New Roman" w:cs="Times New Roman"/>
          <w:b/>
          <w:bCs/>
          <w:sz w:val="24"/>
          <w:szCs w:val="24"/>
        </w:rPr>
      </w:pPr>
      <w:r w:rsidRPr="00A53CA6">
        <w:rPr>
          <w:rFonts w:ascii="Times New Roman" w:hAnsi="Times New Roman" w:cs="Times New Roman"/>
          <w:b/>
          <w:bCs/>
          <w:sz w:val="24"/>
          <w:szCs w:val="24"/>
        </w:rPr>
        <w:t>Method 1</w:t>
      </w:r>
    </w:p>
    <w:p w:rsidR="00A53CA6" w:rsidRPr="00A53CA6" w:rsidRDefault="00A53CA6" w:rsidP="00A53CA6">
      <w:pPr>
        <w:jc w:val="both"/>
        <w:rPr>
          <w:rFonts w:ascii="Times New Roman" w:hAnsi="Times New Roman" w:cs="Times New Roman"/>
          <w:sz w:val="24"/>
          <w:szCs w:val="24"/>
        </w:rPr>
      </w:pPr>
      <w:proofErr w:type="spellStart"/>
      <w:r w:rsidRPr="00A53CA6">
        <w:rPr>
          <w:rFonts w:ascii="Times New Roman" w:hAnsi="Times New Roman" w:cs="Times New Roman"/>
          <w:sz w:val="24"/>
          <w:szCs w:val="24"/>
        </w:rPr>
        <w:t>Hydroperoxides</w:t>
      </w:r>
      <w:proofErr w:type="spellEnd"/>
      <w:r w:rsidRPr="00A53CA6">
        <w:rPr>
          <w:rFonts w:ascii="Times New Roman" w:hAnsi="Times New Roman" w:cs="Times New Roman"/>
          <w:sz w:val="24"/>
          <w:szCs w:val="24"/>
        </w:rPr>
        <w:t xml:space="preserve"> can be removed by passing the solvent through a column of activated alumina. This method works for water-soluble and water-insoluble chemicals. The washed solvent should be retested to ensure that it has been cleaned adequately. The alumina apparently catalyzes the degradation of some peroxides, but in some cases the peroxide may remain intact on the alumina, making it potentially shock sensitive. The alumina can be deactivated by flushing with a dilute acid solution of potassium iodide or ferrous sulfate.</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The amount of alumina required depends on the quantity of peroxide. As a start, a column containing 100 g of alumina should be used for 100 mL of solvent. More alumina or passage through a second column may be required to eliminate peroxides. This method is relatively slow and expensive, but it avoids shaking the solvent and does not add water. </w:t>
      </w:r>
      <w:r w:rsidRPr="00A53CA6">
        <w:rPr>
          <w:rFonts w:ascii="Times New Roman" w:hAnsi="Times New Roman" w:cs="Times New Roman"/>
          <w:sz w:val="24"/>
          <w:szCs w:val="24"/>
        </w:rPr>
        <w:lastRenderedPageBreak/>
        <w:t xml:space="preserve">It will not reliably remove </w:t>
      </w:r>
      <w:proofErr w:type="spellStart"/>
      <w:r w:rsidRPr="00A53CA6">
        <w:rPr>
          <w:rFonts w:ascii="Times New Roman" w:hAnsi="Times New Roman" w:cs="Times New Roman"/>
          <w:sz w:val="24"/>
          <w:szCs w:val="24"/>
        </w:rPr>
        <w:t>dialkyl</w:t>
      </w:r>
      <w:proofErr w:type="spellEnd"/>
      <w:r w:rsidRPr="00A53CA6">
        <w:rPr>
          <w:rFonts w:ascii="Times New Roman" w:hAnsi="Times New Roman" w:cs="Times New Roman"/>
          <w:sz w:val="24"/>
          <w:szCs w:val="24"/>
        </w:rPr>
        <w:t xml:space="preserve"> peroxides, although there is some controversy about this.</w:t>
      </w:r>
    </w:p>
    <w:p w:rsidR="00A53CA6" w:rsidRPr="00A53CA6" w:rsidRDefault="00A53CA6" w:rsidP="00A53CA6">
      <w:pPr>
        <w:jc w:val="both"/>
        <w:rPr>
          <w:rFonts w:ascii="Times New Roman" w:hAnsi="Times New Roman" w:cs="Times New Roman"/>
          <w:b/>
          <w:bCs/>
          <w:sz w:val="24"/>
          <w:szCs w:val="24"/>
        </w:rPr>
      </w:pPr>
      <w:r w:rsidRPr="00A53CA6">
        <w:rPr>
          <w:rFonts w:ascii="Times New Roman" w:hAnsi="Times New Roman" w:cs="Times New Roman"/>
          <w:b/>
          <w:bCs/>
          <w:sz w:val="24"/>
          <w:szCs w:val="24"/>
        </w:rPr>
        <w:t>Method 2</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 xml:space="preserve">Peroxides in water-insoluble chemicals can be removed by shaking with a concentrated solution of ferrous salt; 60 g FeSO4, 6 mL concentrated H2SO4, and 110 mL water are a standard solution. Another formulation is 100 g </w:t>
      </w:r>
      <w:proofErr w:type="gramStart"/>
      <w:r w:rsidRPr="00A53CA6">
        <w:rPr>
          <w:rFonts w:ascii="Times New Roman" w:hAnsi="Times New Roman" w:cs="Times New Roman"/>
          <w:sz w:val="24"/>
          <w:szCs w:val="24"/>
        </w:rPr>
        <w:t>FeSO4,</w:t>
      </w:r>
      <w:proofErr w:type="gramEnd"/>
      <w:r w:rsidRPr="00A53CA6">
        <w:rPr>
          <w:rFonts w:ascii="Times New Roman" w:hAnsi="Times New Roman" w:cs="Times New Roman"/>
          <w:sz w:val="24"/>
          <w:szCs w:val="24"/>
        </w:rPr>
        <w:t xml:space="preserve"> 42 mL concentrated </w:t>
      </w:r>
      <w:proofErr w:type="spellStart"/>
      <w:r w:rsidRPr="00A53CA6">
        <w:rPr>
          <w:rFonts w:ascii="Times New Roman" w:hAnsi="Times New Roman" w:cs="Times New Roman"/>
          <w:sz w:val="24"/>
          <w:szCs w:val="24"/>
        </w:rPr>
        <w:t>HCl</w:t>
      </w:r>
      <w:proofErr w:type="spellEnd"/>
      <w:r w:rsidRPr="00A53CA6">
        <w:rPr>
          <w:rFonts w:ascii="Times New Roman" w:hAnsi="Times New Roman" w:cs="Times New Roman"/>
          <w:sz w:val="24"/>
          <w:szCs w:val="24"/>
        </w:rPr>
        <w:t>, and 85 mL water. The peroxide former is extracted two to three times with an equal volume of the reagent. Drying over sodium or magnesium sulfate can be used to remove dissolved water. Shaking should be very gentle for the first extraction.</w:t>
      </w:r>
    </w:p>
    <w:p w:rsidR="00A53CA6" w:rsidRPr="00A53CA6" w:rsidRDefault="00A53CA6" w:rsidP="00A53CA6">
      <w:pPr>
        <w:jc w:val="both"/>
        <w:rPr>
          <w:rFonts w:ascii="Times New Roman" w:hAnsi="Times New Roman" w:cs="Times New Roman"/>
          <w:sz w:val="24"/>
          <w:szCs w:val="24"/>
        </w:rPr>
      </w:pPr>
      <w:r w:rsidRPr="00A53CA6">
        <w:rPr>
          <w:rFonts w:ascii="Times New Roman" w:hAnsi="Times New Roman" w:cs="Times New Roman"/>
          <w:sz w:val="24"/>
          <w:szCs w:val="24"/>
        </w:rPr>
        <w:t>This method has been shown repeatedly to be quite effective for most peroxides, but it is not reliable for removing alkyl peroxides.</w:t>
      </w:r>
    </w:p>
    <w:p w:rsidR="00A53CA6" w:rsidRPr="00A53CA6" w:rsidRDefault="00A53CA6" w:rsidP="00A53CA6">
      <w:pPr>
        <w:jc w:val="both"/>
        <w:rPr>
          <w:rFonts w:ascii="Times New Roman" w:hAnsi="Times New Roman" w:cs="Times New Roman"/>
          <w:b/>
          <w:bCs/>
          <w:sz w:val="24"/>
          <w:szCs w:val="24"/>
        </w:rPr>
      </w:pPr>
      <w:r w:rsidRPr="00A53CA6">
        <w:rPr>
          <w:rFonts w:ascii="Times New Roman" w:hAnsi="Times New Roman" w:cs="Times New Roman"/>
          <w:b/>
          <w:bCs/>
          <w:sz w:val="24"/>
          <w:szCs w:val="24"/>
        </w:rPr>
        <w:t>Method 3</w:t>
      </w:r>
    </w:p>
    <w:p w:rsidR="00A53CA6" w:rsidRPr="00A53CA6" w:rsidRDefault="00A53CA6" w:rsidP="00A53CA6">
      <w:pPr>
        <w:jc w:val="both"/>
        <w:rPr>
          <w:rFonts w:ascii="Times New Roman" w:hAnsi="Times New Roman" w:cs="Times New Roman"/>
          <w:bCs/>
          <w:sz w:val="24"/>
          <w:szCs w:val="24"/>
        </w:rPr>
      </w:pPr>
      <w:r w:rsidRPr="00A53CA6">
        <w:rPr>
          <w:rFonts w:ascii="Times New Roman" w:hAnsi="Times New Roman" w:cs="Times New Roman"/>
          <w:bCs/>
          <w:sz w:val="24"/>
          <w:szCs w:val="24"/>
        </w:rPr>
        <w:t xml:space="preserve">Blue-indicating molecular sieve (4—8 mesh, type 4A) is added to containers of </w:t>
      </w:r>
      <w:proofErr w:type="spellStart"/>
      <w:r w:rsidRPr="00A53CA6">
        <w:rPr>
          <w:rFonts w:ascii="Times New Roman" w:hAnsi="Times New Roman" w:cs="Times New Roman"/>
          <w:bCs/>
          <w:sz w:val="24"/>
          <w:szCs w:val="24"/>
        </w:rPr>
        <w:t>peroxidized</w:t>
      </w:r>
      <w:proofErr w:type="spellEnd"/>
      <w:r w:rsidRPr="00A53CA6">
        <w:rPr>
          <w:rFonts w:ascii="Times New Roman" w:hAnsi="Times New Roman" w:cs="Times New Roman"/>
          <w:bCs/>
          <w:sz w:val="24"/>
          <w:szCs w:val="24"/>
        </w:rPr>
        <w:t xml:space="preserve"> chemicals and allowed to sit for 1–30 days. An amount equivalent to about 5%–10% (</w:t>
      </w:r>
      <w:proofErr w:type="spellStart"/>
      <w:r w:rsidRPr="00A53CA6">
        <w:rPr>
          <w:rFonts w:ascii="Times New Roman" w:hAnsi="Times New Roman" w:cs="Times New Roman"/>
          <w:bCs/>
          <w:sz w:val="24"/>
          <w:szCs w:val="24"/>
        </w:rPr>
        <w:t>wt</w:t>
      </w:r>
      <w:proofErr w:type="spellEnd"/>
      <w:r w:rsidRPr="00A53CA6">
        <w:rPr>
          <w:rFonts w:ascii="Times New Roman" w:hAnsi="Times New Roman" w:cs="Times New Roman"/>
          <w:bCs/>
          <w:sz w:val="24"/>
          <w:szCs w:val="24"/>
        </w:rPr>
        <w:t>/</w:t>
      </w:r>
      <w:proofErr w:type="spellStart"/>
      <w:r w:rsidRPr="00A53CA6">
        <w:rPr>
          <w:rFonts w:ascii="Times New Roman" w:hAnsi="Times New Roman" w:cs="Times New Roman"/>
          <w:bCs/>
          <w:sz w:val="24"/>
          <w:szCs w:val="24"/>
        </w:rPr>
        <w:t>vol</w:t>
      </w:r>
      <w:proofErr w:type="spellEnd"/>
      <w:r w:rsidRPr="00A53CA6">
        <w:rPr>
          <w:rFonts w:ascii="Times New Roman" w:hAnsi="Times New Roman" w:cs="Times New Roman"/>
          <w:bCs/>
          <w:sz w:val="24"/>
          <w:szCs w:val="24"/>
        </w:rPr>
        <w:t xml:space="preserve">) of the </w:t>
      </w:r>
      <w:proofErr w:type="spellStart"/>
      <w:r w:rsidRPr="00A53CA6">
        <w:rPr>
          <w:rFonts w:ascii="Times New Roman" w:hAnsi="Times New Roman" w:cs="Times New Roman"/>
          <w:bCs/>
          <w:sz w:val="24"/>
          <w:szCs w:val="24"/>
        </w:rPr>
        <w:t>peroxidized</w:t>
      </w:r>
      <w:proofErr w:type="spellEnd"/>
      <w:r w:rsidRPr="00A53CA6">
        <w:rPr>
          <w:rFonts w:ascii="Times New Roman" w:hAnsi="Times New Roman" w:cs="Times New Roman"/>
          <w:bCs/>
          <w:sz w:val="24"/>
          <w:szCs w:val="24"/>
        </w:rPr>
        <w:t xml:space="preserve"> liquid is used. Alternatively, the mixture can be refluxed, and the reaction occurs within 4 hours. The peroxide is broken down, and the indicator in the sieve is consumed. When run at room temperature, this process is apparently safe, slow, and controlled. </w:t>
      </w:r>
      <w:proofErr w:type="spellStart"/>
      <w:r w:rsidRPr="00A53CA6">
        <w:rPr>
          <w:rFonts w:ascii="Times New Roman" w:hAnsi="Times New Roman" w:cs="Times New Roman"/>
          <w:bCs/>
          <w:sz w:val="24"/>
          <w:szCs w:val="24"/>
        </w:rPr>
        <w:t>Dialkyl</w:t>
      </w:r>
      <w:proofErr w:type="spellEnd"/>
      <w:r w:rsidRPr="00A53CA6">
        <w:rPr>
          <w:rFonts w:ascii="Times New Roman" w:hAnsi="Times New Roman" w:cs="Times New Roman"/>
          <w:bCs/>
          <w:sz w:val="24"/>
          <w:szCs w:val="24"/>
        </w:rPr>
        <w:t xml:space="preserve"> peroxides are not efficiently removed, especially from </w:t>
      </w:r>
      <w:proofErr w:type="spellStart"/>
      <w:r w:rsidRPr="00A53CA6">
        <w:rPr>
          <w:rFonts w:ascii="Times New Roman" w:hAnsi="Times New Roman" w:cs="Times New Roman"/>
          <w:bCs/>
          <w:sz w:val="24"/>
          <w:szCs w:val="24"/>
        </w:rPr>
        <w:t>dioxane</w:t>
      </w:r>
      <w:proofErr w:type="spellEnd"/>
      <w:r w:rsidRPr="00A53CA6">
        <w:rPr>
          <w:rFonts w:ascii="Times New Roman" w:hAnsi="Times New Roman" w:cs="Times New Roman"/>
          <w:bCs/>
          <w:sz w:val="24"/>
          <w:szCs w:val="24"/>
        </w:rPr>
        <w:t xml:space="preserve">. This method may be particularly suited to treatment of THF, </w:t>
      </w:r>
      <w:proofErr w:type="spellStart"/>
      <w:r w:rsidRPr="00A53CA6">
        <w:rPr>
          <w:rFonts w:ascii="Times New Roman" w:hAnsi="Times New Roman" w:cs="Times New Roman"/>
          <w:bCs/>
          <w:sz w:val="24"/>
          <w:szCs w:val="24"/>
        </w:rPr>
        <w:t>diisopropyl</w:t>
      </w:r>
      <w:proofErr w:type="spellEnd"/>
      <w:r w:rsidRPr="00A53CA6">
        <w:rPr>
          <w:rFonts w:ascii="Times New Roman" w:hAnsi="Times New Roman" w:cs="Times New Roman"/>
          <w:bCs/>
          <w:sz w:val="24"/>
          <w:szCs w:val="24"/>
        </w:rPr>
        <w:t xml:space="preserve"> ethers, and diethyl ethers, which may be decontaminated at room temperature in a couple of days.</w:t>
      </w:r>
    </w:p>
    <w:p w:rsidR="00A53CA6" w:rsidRPr="00A53CA6" w:rsidRDefault="00A53CA6" w:rsidP="00A53CA6">
      <w:pPr>
        <w:rPr>
          <w:rFonts w:ascii="Times New Roman" w:hAnsi="Times New Roman" w:cs="Times New Roman"/>
          <w:sz w:val="24"/>
          <w:szCs w:val="24"/>
        </w:rPr>
      </w:pPr>
      <w:bookmarkStart w:id="0" w:name="_GoBack"/>
      <w:bookmarkEnd w:id="0"/>
    </w:p>
    <w:sectPr w:rsidR="00A53CA6" w:rsidRPr="00A53CA6" w:rsidSect="00DE5BFD">
      <w:headerReference w:type="default" r:id="rId6"/>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35" w:rsidRDefault="003D1EFE">
    <w:pPr>
      <w:pStyle w:val="Header"/>
    </w:pPr>
  </w:p>
  <w:p w:rsidR="00B74835" w:rsidRDefault="003D1E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11229"/>
    <w:multiLevelType w:val="singleLevel"/>
    <w:tmpl w:val="A69088CC"/>
    <w:lvl w:ilvl="0">
      <w:start w:val="13"/>
      <w:numFmt w:val="decimal"/>
      <w:lvlText w:val="%1."/>
      <w:lvlJc w:val="left"/>
      <w:pPr>
        <w:tabs>
          <w:tab w:val="num" w:pos="720"/>
        </w:tabs>
        <w:ind w:left="720" w:hanging="720"/>
      </w:pPr>
      <w:rPr>
        <w:rFonts w:hint="default"/>
        <w:b/>
      </w:rPr>
    </w:lvl>
  </w:abstractNum>
  <w:abstractNum w:abstractNumId="1">
    <w:nsid w:val="51461F45"/>
    <w:multiLevelType w:val="hybridMultilevel"/>
    <w:tmpl w:val="936A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A6"/>
    <w:rsid w:val="003D1EFE"/>
    <w:rsid w:val="004E772D"/>
    <w:rsid w:val="00885D8C"/>
    <w:rsid w:val="00A5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3CA6"/>
    <w:pPr>
      <w:tabs>
        <w:tab w:val="center" w:pos="4680"/>
        <w:tab w:val="right" w:pos="9360"/>
      </w:tabs>
      <w:spacing w:after="0" w:line="240" w:lineRule="auto"/>
    </w:pPr>
  </w:style>
  <w:style w:type="character" w:customStyle="1" w:styleId="HeaderChar">
    <w:name w:val="Header Char"/>
    <w:basedOn w:val="DefaultParagraphFont"/>
    <w:link w:val="Header"/>
    <w:rsid w:val="00A53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3CA6"/>
    <w:pPr>
      <w:tabs>
        <w:tab w:val="center" w:pos="4680"/>
        <w:tab w:val="right" w:pos="9360"/>
      </w:tabs>
      <w:spacing w:after="0" w:line="240" w:lineRule="auto"/>
    </w:pPr>
  </w:style>
  <w:style w:type="character" w:customStyle="1" w:styleId="HeaderChar">
    <w:name w:val="Header Char"/>
    <w:basedOn w:val="DefaultParagraphFont"/>
    <w:link w:val="Header"/>
    <w:rsid w:val="00A53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pendletonm</dc:creator>
  <cp:lastModifiedBy>pendletonm</cp:lastModifiedBy>
  <cp:revision>2</cp:revision>
  <dcterms:created xsi:type="dcterms:W3CDTF">2012-10-25T21:33:00Z</dcterms:created>
  <dcterms:modified xsi:type="dcterms:W3CDTF">2012-10-25T21:35:00Z</dcterms:modified>
</cp:coreProperties>
</file>