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FA" w:rsidRPr="00AE7B9D" w:rsidRDefault="008942FA" w:rsidP="008942FA">
      <w:pPr>
        <w:spacing w:before="312" w:after="312" w:line="312" w:lineRule="atLeast"/>
        <w:rPr>
          <w:rFonts w:ascii="Times New Roman" w:eastAsia="Times New Roman" w:hAnsi="Times New Roman" w:cs="Times New Roman"/>
          <w:b/>
          <w:bCs/>
          <w:color w:val="000000"/>
          <w:kern w:val="36"/>
          <w:sz w:val="24"/>
          <w:szCs w:val="24"/>
          <w:lang w:val="en"/>
        </w:rPr>
      </w:pPr>
      <w:r w:rsidRPr="00AE7B9D">
        <w:rPr>
          <w:rFonts w:ascii="Times New Roman" w:eastAsia="Times New Roman" w:hAnsi="Times New Roman" w:cs="Times New Roman"/>
          <w:b/>
          <w:bCs/>
          <w:color w:val="000000"/>
          <w:kern w:val="36"/>
          <w:sz w:val="24"/>
          <w:szCs w:val="24"/>
          <w:lang w:val="en"/>
        </w:rPr>
        <w:t>Hazardous Waste</w:t>
      </w:r>
    </w:p>
    <w:p w:rsidR="008942FA" w:rsidRPr="00AE7B9D" w:rsidRDefault="008942FA" w:rsidP="008942FA">
      <w:pPr>
        <w:spacing w:before="312" w:after="312" w:line="312" w:lineRule="atLeast"/>
        <w:jc w:val="both"/>
        <w:rPr>
          <w:rFonts w:ascii="Times New Roman" w:eastAsia="Times New Roman" w:hAnsi="Times New Roman" w:cs="Times New Roman"/>
          <w:b/>
          <w:bCs/>
          <w:color w:val="000000"/>
          <w:kern w:val="36"/>
          <w:sz w:val="24"/>
          <w:szCs w:val="24"/>
          <w:lang w:val="en"/>
        </w:rPr>
      </w:pPr>
      <w:r w:rsidRPr="00AE7B9D">
        <w:rPr>
          <w:rFonts w:ascii="Times New Roman" w:eastAsia="Times New Roman" w:hAnsi="Times New Roman" w:cs="Times New Roman"/>
          <w:sz w:val="24"/>
          <w:szCs w:val="24"/>
        </w:rPr>
        <w:t xml:space="preserve">A Hazardous Waste, as defined by EPA, is any waste that exhibits </w:t>
      </w:r>
      <w:r w:rsidRPr="00AE7B9D">
        <w:rPr>
          <w:rFonts w:ascii="Times New Roman" w:eastAsia="Times New Roman" w:hAnsi="Times New Roman" w:cs="Times New Roman"/>
          <w:b/>
          <w:bCs/>
          <w:sz w:val="24"/>
          <w:szCs w:val="24"/>
        </w:rPr>
        <w:t>one or more</w:t>
      </w:r>
      <w:r w:rsidRPr="00AE7B9D">
        <w:rPr>
          <w:rFonts w:ascii="Times New Roman" w:eastAsia="Times New Roman" w:hAnsi="Times New Roman" w:cs="Times New Roman"/>
          <w:sz w:val="24"/>
          <w:szCs w:val="24"/>
        </w:rPr>
        <w:t xml:space="preserve"> of the following hazard chara</w:t>
      </w:r>
      <w:r>
        <w:rPr>
          <w:rFonts w:ascii="Times New Roman" w:eastAsia="Times New Roman" w:hAnsi="Times New Roman" w:cs="Times New Roman"/>
          <w:sz w:val="24"/>
          <w:szCs w:val="24"/>
        </w:rPr>
        <w:t>cteristics: Ignitabilty, Corros</w:t>
      </w:r>
      <w:r w:rsidRPr="00AE7B9D">
        <w:rPr>
          <w:rFonts w:ascii="Times New Roman" w:eastAsia="Times New Roman" w:hAnsi="Times New Roman" w:cs="Times New Roman"/>
          <w:sz w:val="24"/>
          <w:szCs w:val="24"/>
        </w:rPr>
        <w:t>ivity, Reactivity, or Toxicity, or is a Listed Waste. Such a waste is subject to all EPA hazardous waste labeling, storage and disposal regulations</w:t>
      </w:r>
    </w:p>
    <w:p w:rsidR="008942FA" w:rsidRPr="00AE7B9D" w:rsidRDefault="008942FA" w:rsidP="008942FA">
      <w:pPr>
        <w:spacing w:before="312" w:after="312" w:line="312" w:lineRule="atLeast"/>
        <w:jc w:val="both"/>
        <w:rPr>
          <w:rFonts w:ascii="Times New Roman" w:eastAsia="Times New Roman" w:hAnsi="Times New Roman" w:cs="Times New Roman"/>
          <w:b/>
          <w:bCs/>
          <w:color w:val="000000"/>
          <w:kern w:val="36"/>
          <w:sz w:val="24"/>
          <w:szCs w:val="24"/>
          <w:lang w:val="en"/>
        </w:rPr>
      </w:pPr>
      <w:r w:rsidRPr="00AE7B9D">
        <w:rPr>
          <w:rFonts w:ascii="Times New Roman" w:eastAsia="Times New Roman" w:hAnsi="Times New Roman" w:cs="Times New Roman"/>
          <w:color w:val="000000"/>
          <w:sz w:val="24"/>
          <w:szCs w:val="24"/>
          <w:lang w:val="en"/>
        </w:rPr>
        <w:t>Listed Wastes</w:t>
      </w:r>
    </w:p>
    <w:p w:rsidR="008942FA" w:rsidRPr="00AE7B9D" w:rsidRDefault="008942FA" w:rsidP="008942FA">
      <w:pPr>
        <w:spacing w:after="240" w:line="240" w:lineRule="auto"/>
        <w:jc w:val="both"/>
        <w:rPr>
          <w:rFonts w:ascii="Times New Roman" w:eastAsia="Times New Roman" w:hAnsi="Times New Roman" w:cs="Times New Roman"/>
          <w:color w:val="000000"/>
          <w:sz w:val="24"/>
          <w:szCs w:val="24"/>
          <w:lang w:val="en"/>
        </w:rPr>
      </w:pPr>
      <w:bookmarkStart w:id="0" w:name="flist"/>
      <w:bookmarkEnd w:id="0"/>
      <w:r w:rsidRPr="00AE7B9D">
        <w:rPr>
          <w:rFonts w:ascii="Times New Roman" w:eastAsia="Times New Roman" w:hAnsi="Times New Roman" w:cs="Times New Roman"/>
          <w:b/>
          <w:bCs/>
          <w:color w:val="000000"/>
          <w:sz w:val="24"/>
          <w:szCs w:val="24"/>
          <w:lang w:val="en"/>
        </w:rPr>
        <w:t>The F-list</w:t>
      </w:r>
      <w:r w:rsidRPr="00AE7B9D">
        <w:rPr>
          <w:rFonts w:ascii="Times New Roman" w:eastAsia="Times New Roman" w:hAnsi="Times New Roman" w:cs="Times New Roman"/>
          <w:color w:val="000000"/>
          <w:sz w:val="24"/>
          <w:szCs w:val="24"/>
          <w:lang w:val="en"/>
        </w:rPr>
        <w:t xml:space="preserve"> (non-specific source wastes): This list identifies wastes from common manufacturing and industrial processes, such as solvents that have been used in cleaning or degreasing operations. Wastes included on the F-list can be found in the regulations at </w:t>
      </w:r>
      <w:hyperlink r:id="rId10" w:history="1">
        <w:r w:rsidRPr="00AE7B9D">
          <w:rPr>
            <w:rFonts w:ascii="Times New Roman" w:eastAsia="Times New Roman" w:hAnsi="Times New Roman" w:cs="Times New Roman"/>
            <w:color w:val="3333CC"/>
            <w:sz w:val="24"/>
            <w:szCs w:val="24"/>
            <w:u w:val="single"/>
            <w:lang w:val="en"/>
          </w:rPr>
          <w:t xml:space="preserve">40 CFR §261.31 </w:t>
        </w:r>
      </w:hyperlink>
      <w:r w:rsidRPr="00AE7B9D">
        <w:rPr>
          <w:rFonts w:ascii="Times New Roman" w:eastAsia="Times New Roman" w:hAnsi="Times New Roman" w:cs="Times New Roman"/>
          <w:color w:val="000000"/>
          <w:sz w:val="24"/>
          <w:szCs w:val="24"/>
          <w:lang w:val="en"/>
        </w:rPr>
        <w:t xml:space="preserve">. </w:t>
      </w:r>
    </w:p>
    <w:p w:rsidR="008942FA" w:rsidRPr="00AE7B9D" w:rsidRDefault="008942FA" w:rsidP="008942FA">
      <w:pPr>
        <w:spacing w:after="240" w:line="240" w:lineRule="auto"/>
        <w:jc w:val="both"/>
        <w:rPr>
          <w:rFonts w:ascii="Times New Roman" w:eastAsia="Times New Roman" w:hAnsi="Times New Roman" w:cs="Times New Roman"/>
          <w:color w:val="000000"/>
          <w:sz w:val="24"/>
          <w:szCs w:val="24"/>
          <w:lang w:val="en"/>
        </w:rPr>
      </w:pPr>
      <w:bookmarkStart w:id="1" w:name="klist"/>
      <w:bookmarkEnd w:id="1"/>
      <w:r w:rsidRPr="00AE7B9D">
        <w:rPr>
          <w:rFonts w:ascii="Times New Roman" w:eastAsia="Times New Roman" w:hAnsi="Times New Roman" w:cs="Times New Roman"/>
          <w:b/>
          <w:bCs/>
          <w:color w:val="000000"/>
          <w:sz w:val="24"/>
          <w:szCs w:val="24"/>
          <w:lang w:val="en"/>
        </w:rPr>
        <w:t>The K-list</w:t>
      </w:r>
      <w:r w:rsidRPr="00AE7B9D">
        <w:rPr>
          <w:rFonts w:ascii="Times New Roman" w:eastAsia="Times New Roman" w:hAnsi="Times New Roman" w:cs="Times New Roman"/>
          <w:color w:val="000000"/>
          <w:sz w:val="24"/>
          <w:szCs w:val="24"/>
          <w:lang w:val="en"/>
        </w:rPr>
        <w:t xml:space="preserve"> (source-specific wastes): This list includes certain wastes from specific industries, such as petroleum refining or pesticide manufacturing. Certain sludges and wastewaters from treatment and production processes in these industries are examples of source-specific wastes. Wastes included on the K-list can be found in the regulations at </w:t>
      </w:r>
      <w:hyperlink r:id="rId11" w:history="1">
        <w:r w:rsidRPr="00AE7B9D">
          <w:rPr>
            <w:rFonts w:ascii="Times New Roman" w:eastAsia="Times New Roman" w:hAnsi="Times New Roman" w:cs="Times New Roman"/>
            <w:color w:val="3333CC"/>
            <w:sz w:val="24"/>
            <w:szCs w:val="24"/>
            <w:u w:val="single"/>
            <w:lang w:val="en"/>
          </w:rPr>
          <w:t xml:space="preserve">40 CFR §261.32 </w:t>
        </w:r>
      </w:hyperlink>
      <w:r w:rsidRPr="00AE7B9D">
        <w:rPr>
          <w:rFonts w:ascii="Times New Roman" w:eastAsia="Times New Roman" w:hAnsi="Times New Roman" w:cs="Times New Roman"/>
          <w:color w:val="000000"/>
          <w:sz w:val="24"/>
          <w:szCs w:val="24"/>
          <w:lang w:val="en"/>
        </w:rPr>
        <w:t xml:space="preserve">. </w:t>
      </w:r>
    </w:p>
    <w:p w:rsidR="008942FA" w:rsidRPr="00AE7B9D" w:rsidRDefault="008942FA" w:rsidP="008942FA">
      <w:pPr>
        <w:spacing w:after="100" w:afterAutospacing="1" w:line="240" w:lineRule="auto"/>
        <w:jc w:val="both"/>
        <w:rPr>
          <w:rFonts w:ascii="Times New Roman" w:eastAsia="Times New Roman" w:hAnsi="Times New Roman" w:cs="Times New Roman"/>
          <w:color w:val="000000"/>
          <w:sz w:val="24"/>
          <w:szCs w:val="24"/>
          <w:lang w:val="en"/>
        </w:rPr>
      </w:pPr>
      <w:bookmarkStart w:id="2" w:name="plist"/>
      <w:bookmarkEnd w:id="2"/>
      <w:r w:rsidRPr="00AE7B9D">
        <w:rPr>
          <w:rFonts w:ascii="Times New Roman" w:eastAsia="Times New Roman" w:hAnsi="Times New Roman" w:cs="Times New Roman"/>
          <w:b/>
          <w:bCs/>
          <w:color w:val="000000"/>
          <w:sz w:val="24"/>
          <w:szCs w:val="24"/>
          <w:lang w:val="en"/>
        </w:rPr>
        <w:t>The P-list and the U-list</w:t>
      </w:r>
      <w:r w:rsidRPr="00AE7B9D">
        <w:rPr>
          <w:rFonts w:ascii="Times New Roman" w:eastAsia="Times New Roman" w:hAnsi="Times New Roman" w:cs="Times New Roman"/>
          <w:color w:val="000000"/>
          <w:sz w:val="24"/>
          <w:szCs w:val="24"/>
          <w:lang w:val="en"/>
        </w:rPr>
        <w:t xml:space="preserve"> (discarded commercial chemical products): These lists include specific commercial chemical products in an unused form. Some pesticides and some pharmaceutical products become hazardous waste when discarded. Wastes included on the P- and U-lists can be found in the regulations at </w:t>
      </w:r>
      <w:hyperlink r:id="rId12" w:history="1">
        <w:r w:rsidRPr="00AE7B9D">
          <w:rPr>
            <w:rFonts w:ascii="Times New Roman" w:eastAsia="Times New Roman" w:hAnsi="Times New Roman" w:cs="Times New Roman"/>
            <w:color w:val="3333CC"/>
            <w:sz w:val="24"/>
            <w:szCs w:val="24"/>
            <w:u w:val="single"/>
            <w:lang w:val="en"/>
          </w:rPr>
          <w:t xml:space="preserve">40 CFR §261.33 </w:t>
        </w:r>
      </w:hyperlink>
    </w:p>
    <w:p w:rsidR="008942FA" w:rsidRPr="00AE7B9D" w:rsidRDefault="008942FA" w:rsidP="008942FA">
      <w:pPr>
        <w:pStyle w:val="Default"/>
        <w:rPr>
          <w:rFonts w:ascii="Times New Roman" w:hAnsi="Times New Roman" w:cs="Times New Roman"/>
          <w:b/>
          <w:bCs/>
        </w:rPr>
      </w:pPr>
      <w:r w:rsidRPr="00AE7B9D">
        <w:rPr>
          <w:rFonts w:ascii="Times New Roman" w:hAnsi="Times New Roman" w:cs="Times New Roman"/>
          <w:b/>
          <w:bCs/>
        </w:rPr>
        <w:t>Characteristic Hazardous Waste</w:t>
      </w:r>
    </w:p>
    <w:p w:rsidR="008942FA" w:rsidRPr="00AE7B9D" w:rsidRDefault="008942FA" w:rsidP="008942FA">
      <w:pPr>
        <w:pStyle w:val="Default"/>
        <w:jc w:val="both"/>
        <w:rPr>
          <w:rFonts w:ascii="Times New Roman" w:hAnsi="Times New Roman" w:cs="Times New Roman"/>
          <w:b/>
          <w:bCs/>
          <w:color w:val="auto"/>
        </w:rPr>
      </w:pPr>
    </w:p>
    <w:p w:rsidR="008942FA" w:rsidRPr="00AE7B9D" w:rsidRDefault="008942FA" w:rsidP="008942FA">
      <w:pPr>
        <w:pStyle w:val="Default"/>
        <w:rPr>
          <w:rFonts w:ascii="Times New Roman" w:hAnsi="Times New Roman" w:cs="Times New Roman"/>
        </w:rPr>
      </w:pPr>
      <w:r w:rsidRPr="00AE7B9D">
        <w:rPr>
          <w:rFonts w:ascii="Times New Roman" w:hAnsi="Times New Roman" w:cs="Times New Roman"/>
        </w:rPr>
        <w:t xml:space="preserve">The </w:t>
      </w:r>
      <w:r w:rsidRPr="00AE7B9D">
        <w:rPr>
          <w:rFonts w:ascii="Times New Roman" w:hAnsi="Times New Roman" w:cs="Times New Roman"/>
          <w:b/>
          <w:bCs/>
        </w:rPr>
        <w:t xml:space="preserve">Ignitability </w:t>
      </w:r>
      <w:r w:rsidRPr="00AE7B9D">
        <w:rPr>
          <w:rFonts w:ascii="Times New Roman" w:hAnsi="Times New Roman" w:cs="Times New Roman"/>
        </w:rPr>
        <w:t xml:space="preserve">characteristic applies to wastes that are: </w:t>
      </w:r>
    </w:p>
    <w:p w:rsidR="008942FA" w:rsidRPr="00AE7B9D" w:rsidRDefault="008942FA" w:rsidP="008942FA">
      <w:pPr>
        <w:pStyle w:val="Default"/>
        <w:numPr>
          <w:ilvl w:val="0"/>
          <w:numId w:val="9"/>
        </w:numPr>
        <w:rPr>
          <w:rFonts w:ascii="Times New Roman" w:hAnsi="Times New Roman" w:cs="Times New Roman"/>
        </w:rPr>
      </w:pPr>
      <w:r w:rsidRPr="00AE7B9D">
        <w:rPr>
          <w:rFonts w:ascii="Times New Roman" w:hAnsi="Times New Roman" w:cs="Times New Roman"/>
        </w:rPr>
        <w:t xml:space="preserve">Liquids with a flash point less than 140F </w:t>
      </w:r>
    </w:p>
    <w:p w:rsidR="008942FA" w:rsidRPr="00AE7B9D" w:rsidRDefault="008942FA" w:rsidP="008942FA">
      <w:pPr>
        <w:pStyle w:val="Default"/>
        <w:numPr>
          <w:ilvl w:val="0"/>
          <w:numId w:val="9"/>
        </w:numPr>
        <w:rPr>
          <w:rFonts w:ascii="Times New Roman" w:hAnsi="Times New Roman" w:cs="Times New Roman"/>
        </w:rPr>
      </w:pPr>
      <w:r w:rsidRPr="00AE7B9D">
        <w:rPr>
          <w:rFonts w:ascii="Times New Roman" w:hAnsi="Times New Roman" w:cs="Times New Roman"/>
        </w:rPr>
        <w:t xml:space="preserve">Solids capable of spontaneous combustion under normal temperature and pressure </w:t>
      </w:r>
    </w:p>
    <w:p w:rsidR="008942FA" w:rsidRPr="00AE7B9D" w:rsidRDefault="008942FA" w:rsidP="008942FA">
      <w:pPr>
        <w:pStyle w:val="Default"/>
        <w:numPr>
          <w:ilvl w:val="0"/>
          <w:numId w:val="9"/>
        </w:numPr>
        <w:rPr>
          <w:rFonts w:ascii="Times New Roman" w:hAnsi="Times New Roman" w:cs="Times New Roman"/>
        </w:rPr>
      </w:pPr>
      <w:r w:rsidRPr="00AE7B9D">
        <w:rPr>
          <w:rFonts w:ascii="Times New Roman" w:hAnsi="Times New Roman" w:cs="Times New Roman"/>
        </w:rPr>
        <w:t xml:space="preserve">Oxidizing materials </w:t>
      </w:r>
    </w:p>
    <w:p w:rsidR="008942FA" w:rsidRPr="00AE7B9D" w:rsidRDefault="008942FA" w:rsidP="008942FA">
      <w:pPr>
        <w:pStyle w:val="Default"/>
        <w:numPr>
          <w:ilvl w:val="0"/>
          <w:numId w:val="9"/>
        </w:numPr>
        <w:rPr>
          <w:rFonts w:ascii="Times New Roman" w:hAnsi="Times New Roman" w:cs="Times New Roman"/>
        </w:rPr>
      </w:pPr>
      <w:r w:rsidRPr="00AE7B9D">
        <w:rPr>
          <w:rFonts w:ascii="Times New Roman" w:hAnsi="Times New Roman" w:cs="Times New Roman"/>
        </w:rPr>
        <w:t xml:space="preserve">Ignitable compressed gases </w:t>
      </w:r>
    </w:p>
    <w:p w:rsidR="008942FA" w:rsidRPr="00AE7B9D" w:rsidRDefault="008942FA" w:rsidP="008942FA">
      <w:pPr>
        <w:pStyle w:val="Default"/>
        <w:numPr>
          <w:ilvl w:val="0"/>
          <w:numId w:val="9"/>
        </w:numPr>
        <w:rPr>
          <w:rFonts w:ascii="Times New Roman" w:hAnsi="Times New Roman" w:cs="Times New Roman"/>
        </w:rPr>
      </w:pPr>
      <w:r w:rsidRPr="00AE7B9D">
        <w:rPr>
          <w:rFonts w:ascii="Times New Roman" w:hAnsi="Times New Roman" w:cs="Times New Roman"/>
        </w:rPr>
        <w:t xml:space="preserve">Examples include ethanol, sodium nitrate, hydrogen gas, and xylene </w:t>
      </w:r>
    </w:p>
    <w:p w:rsidR="008942FA" w:rsidRPr="00AE7B9D" w:rsidRDefault="008942FA" w:rsidP="008942FA">
      <w:pPr>
        <w:pStyle w:val="Default"/>
        <w:rPr>
          <w:rFonts w:ascii="Times New Roman" w:hAnsi="Times New Roman" w:cs="Times New Roman"/>
        </w:rPr>
      </w:pPr>
    </w:p>
    <w:p w:rsidR="008942FA" w:rsidRPr="00AE7B9D" w:rsidRDefault="008942FA" w:rsidP="008942FA">
      <w:pPr>
        <w:pStyle w:val="Default"/>
        <w:rPr>
          <w:rFonts w:ascii="Times New Roman" w:hAnsi="Times New Roman" w:cs="Times New Roman"/>
        </w:rPr>
      </w:pPr>
      <w:r w:rsidRPr="00AE7B9D">
        <w:rPr>
          <w:rFonts w:ascii="Times New Roman" w:hAnsi="Times New Roman" w:cs="Times New Roman"/>
        </w:rPr>
        <w:t xml:space="preserve">The </w:t>
      </w:r>
      <w:r w:rsidRPr="00AE7B9D">
        <w:rPr>
          <w:rFonts w:ascii="Times New Roman" w:hAnsi="Times New Roman" w:cs="Times New Roman"/>
          <w:b/>
          <w:bCs/>
        </w:rPr>
        <w:t xml:space="preserve">Corrosivity </w:t>
      </w:r>
      <w:r w:rsidRPr="00AE7B9D">
        <w:rPr>
          <w:rFonts w:ascii="Times New Roman" w:hAnsi="Times New Roman" w:cs="Times New Roman"/>
        </w:rPr>
        <w:t xml:space="preserve">characteristic applies to wastes that are: </w:t>
      </w:r>
    </w:p>
    <w:p w:rsidR="008942FA" w:rsidRPr="00AE7B9D" w:rsidRDefault="008942FA" w:rsidP="008942FA">
      <w:pPr>
        <w:pStyle w:val="Default"/>
        <w:numPr>
          <w:ilvl w:val="0"/>
          <w:numId w:val="10"/>
        </w:numPr>
        <w:rPr>
          <w:rFonts w:ascii="Times New Roman" w:hAnsi="Times New Roman" w:cs="Times New Roman"/>
        </w:rPr>
      </w:pPr>
      <w:r w:rsidRPr="00AE7B9D">
        <w:rPr>
          <w:rFonts w:ascii="Times New Roman" w:hAnsi="Times New Roman" w:cs="Times New Roman"/>
        </w:rPr>
        <w:t xml:space="preserve">Aqueous solutions with a pH less than or equal to 2 or greater than or equal to 12.5 </w:t>
      </w:r>
    </w:p>
    <w:p w:rsidR="008942FA" w:rsidRPr="00AE7B9D" w:rsidRDefault="008942FA" w:rsidP="008942FA">
      <w:pPr>
        <w:pStyle w:val="Default"/>
        <w:numPr>
          <w:ilvl w:val="0"/>
          <w:numId w:val="10"/>
        </w:numPr>
        <w:rPr>
          <w:rFonts w:ascii="Times New Roman" w:hAnsi="Times New Roman" w:cs="Times New Roman"/>
        </w:rPr>
      </w:pPr>
      <w:r w:rsidRPr="00AE7B9D">
        <w:rPr>
          <w:rFonts w:ascii="Times New Roman" w:hAnsi="Times New Roman" w:cs="Times New Roman"/>
        </w:rPr>
        <w:t xml:space="preserve">This does not apply to solid or non-aqueous materials </w:t>
      </w:r>
    </w:p>
    <w:p w:rsidR="008942FA" w:rsidRPr="00AE7B9D" w:rsidRDefault="008942FA" w:rsidP="008942FA">
      <w:pPr>
        <w:pStyle w:val="Default"/>
        <w:numPr>
          <w:ilvl w:val="0"/>
          <w:numId w:val="10"/>
        </w:numPr>
        <w:rPr>
          <w:rFonts w:ascii="Times New Roman" w:hAnsi="Times New Roman" w:cs="Times New Roman"/>
        </w:rPr>
      </w:pPr>
      <w:r w:rsidRPr="00AE7B9D">
        <w:rPr>
          <w:rFonts w:ascii="Times New Roman" w:hAnsi="Times New Roman" w:cs="Times New Roman"/>
          <w:color w:val="auto"/>
        </w:rPr>
        <w:t>Examples include hydrochloric acid, nitric acid, and sodium hydroxide</w:t>
      </w:r>
    </w:p>
    <w:p w:rsidR="008942FA" w:rsidRPr="00AE7B9D" w:rsidRDefault="008942FA" w:rsidP="008942FA">
      <w:pPr>
        <w:pStyle w:val="Default"/>
        <w:ind w:left="720"/>
        <w:rPr>
          <w:rFonts w:ascii="Times New Roman" w:hAnsi="Times New Roman" w:cs="Times New Roman"/>
        </w:rPr>
      </w:pPr>
    </w:p>
    <w:p w:rsidR="008942FA" w:rsidRPr="00AE7B9D" w:rsidRDefault="008942FA" w:rsidP="008942FA">
      <w:pPr>
        <w:pStyle w:val="Default"/>
        <w:rPr>
          <w:rFonts w:ascii="Times New Roman" w:hAnsi="Times New Roman" w:cs="Times New Roman"/>
        </w:rPr>
      </w:pPr>
      <w:r w:rsidRPr="00AE7B9D">
        <w:rPr>
          <w:rFonts w:ascii="Times New Roman" w:hAnsi="Times New Roman" w:cs="Times New Roman"/>
        </w:rPr>
        <w:t xml:space="preserve">The </w:t>
      </w:r>
      <w:r w:rsidRPr="00AE7B9D">
        <w:rPr>
          <w:rFonts w:ascii="Times New Roman" w:hAnsi="Times New Roman" w:cs="Times New Roman"/>
          <w:b/>
        </w:rPr>
        <w:t>Reactivity</w:t>
      </w:r>
      <w:r w:rsidRPr="00AE7B9D">
        <w:rPr>
          <w:rFonts w:ascii="Times New Roman" w:hAnsi="Times New Roman" w:cs="Times New Roman"/>
        </w:rPr>
        <w:t xml:space="preserve"> Characteristic applies to waste that are</w:t>
      </w:r>
      <w:r w:rsidRPr="00AE7B9D">
        <w:rPr>
          <w:rFonts w:ascii="Times New Roman" w:hAnsi="Times New Roman" w:cs="Times New Roman"/>
          <w:b/>
        </w:rPr>
        <w:t>:</w:t>
      </w:r>
      <w:r w:rsidRPr="00AE7B9D">
        <w:rPr>
          <w:rFonts w:ascii="Times New Roman" w:hAnsi="Times New Roman" w:cs="Times New Roman"/>
        </w:rPr>
        <w:t xml:space="preserve"> </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t>Normally unstable and readily undergoes violent change without detonating, e.g., propargyl alcohol</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t>Reacts violently with water, e.g., sodium metal</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t>Forms potentially explosive mixtures with water, e.g., trichlorosilane</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t>When mixed with water it generates toxic gases, fumes, or vapors in a quantity sufficient to present a danger to human health or the environment, e.g., phosphorous pentachloride</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lastRenderedPageBreak/>
        <w:t>Capable of detonation or explosive reaction if it is subjected to a strong initiating source or if heated under confinement, e.g., 1,4-dioxane</w:t>
      </w:r>
    </w:p>
    <w:p w:rsidR="008942FA" w:rsidRPr="00AE7B9D" w:rsidRDefault="008942FA" w:rsidP="008942FA">
      <w:pPr>
        <w:pStyle w:val="Default"/>
        <w:numPr>
          <w:ilvl w:val="0"/>
          <w:numId w:val="11"/>
        </w:numPr>
        <w:jc w:val="both"/>
        <w:rPr>
          <w:rFonts w:ascii="Times New Roman" w:hAnsi="Times New Roman" w:cs="Times New Roman"/>
        </w:rPr>
      </w:pPr>
      <w:r w:rsidRPr="00AE7B9D">
        <w:rPr>
          <w:rFonts w:ascii="Times New Roman" w:hAnsi="Times New Roman" w:cs="Times New Roman"/>
        </w:rPr>
        <w:t>Readily capable of detonation or, explosive decomposition, or explosive reaction at standard temperature and pressure, e.g., diborane</w:t>
      </w:r>
    </w:p>
    <w:p w:rsidR="008942FA" w:rsidRPr="00AE7B9D" w:rsidRDefault="008942FA" w:rsidP="008942FA">
      <w:pPr>
        <w:pStyle w:val="Default"/>
        <w:numPr>
          <w:ilvl w:val="0"/>
          <w:numId w:val="11"/>
        </w:numPr>
        <w:rPr>
          <w:rFonts w:ascii="Times New Roman" w:hAnsi="Times New Roman" w:cs="Times New Roman"/>
        </w:rPr>
      </w:pPr>
      <w:r w:rsidRPr="00AE7B9D">
        <w:rPr>
          <w:rFonts w:ascii="Times New Roman" w:hAnsi="Times New Roman" w:cs="Times New Roman"/>
        </w:rPr>
        <w:t>DOT forbidden explosive, e.g. trinitrotoluene.</w:t>
      </w:r>
    </w:p>
    <w:p w:rsidR="008942FA" w:rsidRDefault="008942FA" w:rsidP="008942FA">
      <w:pPr>
        <w:spacing w:after="240" w:line="240" w:lineRule="auto"/>
        <w:jc w:val="both"/>
        <w:rPr>
          <w:rFonts w:ascii="Times New Roman" w:hAnsi="Times New Roman" w:cs="Times New Roman"/>
          <w:b/>
          <w:sz w:val="24"/>
          <w:szCs w:val="24"/>
          <w:u w:val="single"/>
        </w:rPr>
      </w:pPr>
    </w:p>
    <w:p w:rsidR="008942FA" w:rsidRPr="00AE7B9D" w:rsidRDefault="008942FA" w:rsidP="008942FA">
      <w:pPr>
        <w:spacing w:after="240" w:line="240" w:lineRule="auto"/>
        <w:jc w:val="both"/>
        <w:rPr>
          <w:rFonts w:ascii="Times New Roman" w:eastAsia="Times New Roman" w:hAnsi="Times New Roman" w:cs="Times New Roman"/>
          <w:color w:val="000000"/>
          <w:sz w:val="24"/>
          <w:szCs w:val="24"/>
          <w:lang w:val="en"/>
        </w:rPr>
      </w:pPr>
      <w:bookmarkStart w:id="3" w:name="_GoBack"/>
      <w:bookmarkEnd w:id="3"/>
      <w:r w:rsidRPr="00AE7B9D">
        <w:rPr>
          <w:rFonts w:ascii="Times New Roman" w:hAnsi="Times New Roman" w:cs="Times New Roman"/>
          <w:b/>
          <w:sz w:val="24"/>
          <w:szCs w:val="24"/>
          <w:u w:val="single"/>
        </w:rPr>
        <w:t>Toxic</w:t>
      </w:r>
      <w:r w:rsidRPr="00AE7B9D">
        <w:rPr>
          <w:rFonts w:ascii="Times New Roman" w:hAnsi="Times New Roman" w:cs="Times New Roman"/>
          <w:sz w:val="24"/>
          <w:szCs w:val="24"/>
        </w:rPr>
        <w:t>: Toxic chemicals are listed as “D wastes” in RCRA.  Common toxic metals as listed by EPA are arsenic, barium, cadmium, chromium, lead, mercury, selenium, and silver.  Common toxic organic compounds are pyridine, benzene, carbon tetrachloride, dichlorobenzene, and methyl ethyl ketone.  These chemicals have regulatory limits on the quantities that are considered hazardous waste.  The concentration should be noted on any solutions containing toxic chemicals.</w:t>
      </w:r>
    </w:p>
    <w:p w:rsidR="008942FA" w:rsidRPr="00AE7B9D" w:rsidRDefault="008942FA" w:rsidP="008942FA">
      <w:pPr>
        <w:rPr>
          <w:rFonts w:ascii="Times New Roman" w:hAnsi="Times New Roman" w:cs="Times New Roman"/>
          <w:sz w:val="24"/>
          <w:szCs w:val="24"/>
        </w:rPr>
      </w:pPr>
    </w:p>
    <w:p w:rsidR="00D667A1" w:rsidRPr="008942FA" w:rsidRDefault="00D667A1" w:rsidP="008942FA"/>
    <w:sectPr w:rsidR="00D667A1" w:rsidRPr="008942FA" w:rsidSect="0043602E">
      <w:headerReference w:type="default" r:id="rId13"/>
      <w:footerReference w:type="default" r:id="rId14"/>
      <w:footerReference w:type="first" r:id="rId15"/>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E" w:rsidRDefault="00CD4B6E">
      <w:pPr>
        <w:spacing w:after="0" w:line="240" w:lineRule="auto"/>
      </w:pPr>
      <w:r>
        <w:separator/>
      </w:r>
    </w:p>
  </w:endnote>
  <w:endnote w:type="continuationSeparator" w:id="0">
    <w:p w:rsidR="00CD4B6E" w:rsidRDefault="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692C97" w:rsidP="00CD6258">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Emp</w:t>
          </w:r>
          <w:r w:rsidR="00CD6258">
            <w:rPr>
              <w:sz w:val="20"/>
              <w:szCs w:val="20"/>
            </w:rPr>
            <w:t>t</w:t>
          </w:r>
          <w:r w:rsidR="00716AEE" w:rsidRPr="00716AEE">
            <w:rPr>
              <w:sz w:val="20"/>
              <w:szCs w:val="20"/>
            </w:rPr>
            <w:t>y</w:t>
          </w:r>
          <w:r w:rsidR="00CD6258">
            <w:rPr>
              <w:sz w:val="20"/>
              <w:szCs w:val="20"/>
            </w:rPr>
            <w:t xml:space="preserve"> Chemical Container Management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692C97" w:rsidRPr="00692C97">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E" w:rsidRDefault="00CD4B6E">
      <w:pPr>
        <w:spacing w:after="0" w:line="240" w:lineRule="auto"/>
      </w:pPr>
      <w:r>
        <w:separator/>
      </w:r>
    </w:p>
  </w:footnote>
  <w:footnote w:type="continuationSeparator" w:id="0">
    <w:p w:rsidR="00CD4B6E" w:rsidRDefault="00CD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692C97" w:rsidP="008942FA">
          <w:pPr>
            <w:pStyle w:val="Header"/>
            <w:jc w:val="right"/>
            <w:rPr>
              <w:rFonts w:eastAsiaTheme="majorEastAsia" w:cstheme="majorBidi"/>
              <w:sz w:val="36"/>
              <w:szCs w:val="36"/>
            </w:rPr>
          </w:p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8942FA">
                <w:rPr>
                  <w:rFonts w:eastAsiaTheme="majorEastAsia" w:cstheme="majorBidi"/>
                  <w:sz w:val="36"/>
                  <w:szCs w:val="36"/>
                </w:rPr>
                <w:t>Hazardous Waste Defined</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02"/>
    <w:multiLevelType w:val="hybridMultilevel"/>
    <w:tmpl w:val="CC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F32DD"/>
    <w:multiLevelType w:val="hybridMultilevel"/>
    <w:tmpl w:val="0A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7">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0">
    <w:nsid w:val="7D562BD9"/>
    <w:multiLevelType w:val="hybridMultilevel"/>
    <w:tmpl w:val="B9A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4"/>
  </w:num>
  <w:num w:numId="6">
    <w:abstractNumId w:val="3"/>
  </w:num>
  <w:num w:numId="7">
    <w:abstractNumId w:val="2"/>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92C97"/>
    <w:rsid w:val="006B2D03"/>
    <w:rsid w:val="006B409D"/>
    <w:rsid w:val="00716AEE"/>
    <w:rsid w:val="00760B7D"/>
    <w:rsid w:val="00774911"/>
    <w:rsid w:val="00795804"/>
    <w:rsid w:val="007D2273"/>
    <w:rsid w:val="00872952"/>
    <w:rsid w:val="00893A87"/>
    <w:rsid w:val="008942FA"/>
    <w:rsid w:val="00930702"/>
    <w:rsid w:val="009B1CB3"/>
    <w:rsid w:val="009F6E31"/>
    <w:rsid w:val="00A4356E"/>
    <w:rsid w:val="00A82DA8"/>
    <w:rsid w:val="00AB5106"/>
    <w:rsid w:val="00B01BE9"/>
    <w:rsid w:val="00B57E8A"/>
    <w:rsid w:val="00BA529F"/>
    <w:rsid w:val="00BC46B2"/>
    <w:rsid w:val="00BD0246"/>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 w:type="paragraph" w:customStyle="1" w:styleId="Default">
    <w:name w:val="Default"/>
    <w:rsid w:val="008942FA"/>
    <w:pPr>
      <w:widowControl/>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po.gov/fdsys/pkg/CFR-2012-title40-vol27/xml/CFR-2012-title40-vol27-sec261-33.x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gov/fdsys/pkg/CFR-2012-title40-vol27/xml/CFR-2012-title40-vol27-sec261-32.x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gpo.gov/fdsys/pkg/CFR-2012-title40-vol27/xml/CFR-2012-title40-vol27-sec261-31.x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8034C-51EB-4EBD-BF3F-44B43EB0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Hazardous Waste Defined</vt:lpstr>
    </vt:vector>
  </TitlesOfParts>
  <Company>The University of Alabama in</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Defined</dc:title>
  <dc:creator>James Beck</dc:creator>
  <cp:lastModifiedBy>pendletonm</cp:lastModifiedBy>
  <cp:revision>2</cp:revision>
  <dcterms:created xsi:type="dcterms:W3CDTF">2014-02-10T21:32:00Z</dcterms:created>
  <dcterms:modified xsi:type="dcterms:W3CDTF">2014-02-10T21:32:00Z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