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B3" w:rsidRDefault="009226B3" w:rsidP="009226B3">
      <w:pPr>
        <w:widowControl w:val="0"/>
        <w:autoSpaceDE w:val="0"/>
        <w:autoSpaceDN w:val="0"/>
        <w:adjustRightInd w:val="0"/>
        <w:jc w:val="both"/>
        <w:rPr>
          <w:rFonts w:eastAsiaTheme="minorHAnsi"/>
          <w:b/>
          <w:bCs/>
          <w:sz w:val="24"/>
          <w:szCs w:val="24"/>
        </w:rPr>
      </w:pPr>
      <w:bookmarkStart w:id="0" w:name="_GoBack"/>
      <w:bookmarkEnd w:id="0"/>
      <w:r>
        <w:rPr>
          <w:rFonts w:eastAsiaTheme="minorHAnsi"/>
          <w:b/>
          <w:bCs/>
          <w:sz w:val="24"/>
          <w:szCs w:val="24"/>
        </w:rPr>
        <w:t>Peroxide-Forming Chemicals</w:t>
      </w:r>
    </w:p>
    <w:p w:rsidR="009226B3" w:rsidRDefault="009226B3" w:rsidP="009226B3">
      <w:pPr>
        <w:widowControl w:val="0"/>
        <w:autoSpaceDE w:val="0"/>
        <w:autoSpaceDN w:val="0"/>
        <w:adjustRightInd w:val="0"/>
        <w:jc w:val="both"/>
        <w:rPr>
          <w:rFonts w:eastAsiaTheme="minorHAnsi"/>
          <w:b/>
          <w:bCs/>
          <w:sz w:val="24"/>
          <w:szCs w:val="24"/>
        </w:rPr>
      </w:pP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 xml:space="preserve">Some common laboratory chemicals can form peroxides on exposure to air. Peroxides are shock-sensitive and can be violently explosive in concentrated form or as solids. Others can result in rapid polymerization and can initiate a runaway, explosive reaction. The most commonly used peroxide-forming chemicals are: diethyl ether (ethyl ether), </w:t>
      </w:r>
      <w:proofErr w:type="spellStart"/>
      <w:r>
        <w:rPr>
          <w:rFonts w:eastAsiaTheme="minorHAnsi"/>
          <w:sz w:val="24"/>
          <w:szCs w:val="24"/>
        </w:rPr>
        <w:t>tetrahydrofuran</w:t>
      </w:r>
      <w:proofErr w:type="spellEnd"/>
      <w:r>
        <w:rPr>
          <w:rFonts w:eastAsiaTheme="minorHAnsi"/>
          <w:sz w:val="24"/>
          <w:szCs w:val="24"/>
        </w:rPr>
        <w:t xml:space="preserve"> (THF), </w:t>
      </w:r>
      <w:proofErr w:type="spellStart"/>
      <w:r>
        <w:rPr>
          <w:rFonts w:eastAsiaTheme="minorHAnsi"/>
          <w:sz w:val="24"/>
          <w:szCs w:val="24"/>
        </w:rPr>
        <w:t>dioxane</w:t>
      </w:r>
      <w:proofErr w:type="spellEnd"/>
      <w:r>
        <w:rPr>
          <w:rFonts w:eastAsiaTheme="minorHAnsi"/>
          <w:sz w:val="24"/>
          <w:szCs w:val="24"/>
        </w:rPr>
        <w:t>. Isopropyl ether (</w:t>
      </w:r>
      <w:proofErr w:type="spellStart"/>
      <w:r>
        <w:rPr>
          <w:rFonts w:eastAsiaTheme="minorHAnsi"/>
          <w:sz w:val="24"/>
          <w:szCs w:val="24"/>
        </w:rPr>
        <w:t>diisopropyl</w:t>
      </w:r>
      <w:proofErr w:type="spellEnd"/>
      <w:r>
        <w:rPr>
          <w:rFonts w:eastAsiaTheme="minorHAnsi"/>
          <w:sz w:val="24"/>
          <w:szCs w:val="24"/>
        </w:rPr>
        <w:t xml:space="preserve"> ether) is a severe peroxide hazard. Organic peroxides are another class of compounds with unusual stability problems and as such are one of the most hazardous </w:t>
      </w:r>
      <w:proofErr w:type="gramStart"/>
      <w:r>
        <w:rPr>
          <w:rFonts w:eastAsiaTheme="minorHAnsi"/>
          <w:sz w:val="24"/>
          <w:szCs w:val="24"/>
        </w:rPr>
        <w:t>class</w:t>
      </w:r>
      <w:proofErr w:type="gramEnd"/>
      <w:r>
        <w:rPr>
          <w:rFonts w:eastAsiaTheme="minorHAnsi"/>
          <w:sz w:val="24"/>
          <w:szCs w:val="24"/>
        </w:rPr>
        <w:t xml:space="preserve"> of chemicals normally handled in the laboratory. </w:t>
      </w:r>
    </w:p>
    <w:p w:rsidR="009226B3" w:rsidRDefault="009226B3" w:rsidP="009226B3">
      <w:pPr>
        <w:widowControl w:val="0"/>
        <w:autoSpaceDE w:val="0"/>
        <w:autoSpaceDN w:val="0"/>
        <w:adjustRightInd w:val="0"/>
        <w:jc w:val="both"/>
        <w:rPr>
          <w:rFonts w:eastAsiaTheme="minorHAnsi"/>
          <w:b/>
          <w:bCs/>
          <w:sz w:val="24"/>
          <w:szCs w:val="24"/>
        </w:rPr>
      </w:pPr>
      <w:r>
        <w:rPr>
          <w:rFonts w:eastAsiaTheme="minorHAnsi"/>
          <w:b/>
          <w:bCs/>
          <w:sz w:val="24"/>
          <w:szCs w:val="24"/>
        </w:rPr>
        <w:t>Storage Procedures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The best way to manage chemicals that have the potential for forming shock sensitive peroxides is to purchase only the quantity that is required in a one-month period.  Date the bottle as soon as it arrives in the lab. Store the material in a tightly closed, properly labeled container in flammable storage cabinet, away from flames, heat, and sources of ignition, light, oxidizers and oxidizing acids.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b/>
          <w:bCs/>
          <w:sz w:val="24"/>
          <w:szCs w:val="24"/>
        </w:rPr>
        <w:t>Caution:</w:t>
      </w:r>
      <w:r>
        <w:rPr>
          <w:rFonts w:eastAsiaTheme="minorHAnsi"/>
          <w:sz w:val="24"/>
          <w:szCs w:val="24"/>
        </w:rPr>
        <w:t xml:space="preserve"> All </w:t>
      </w:r>
      <w:proofErr w:type="spellStart"/>
      <w:r>
        <w:rPr>
          <w:rFonts w:eastAsiaTheme="minorHAnsi"/>
          <w:sz w:val="24"/>
          <w:szCs w:val="24"/>
        </w:rPr>
        <w:t>peroxidizable</w:t>
      </w:r>
      <w:proofErr w:type="spellEnd"/>
      <w:r>
        <w:rPr>
          <w:rFonts w:eastAsiaTheme="minorHAnsi"/>
          <w:sz w:val="24"/>
          <w:szCs w:val="24"/>
        </w:rPr>
        <w:t xml:space="preserve"> compounds should be stored away from heat and light. They should be protected from physical damage and ignition sources.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 xml:space="preserve">When peroxide-forming chemicals reach their expiration date, it is recommended that you process the chemicals for waste collection. </w:t>
      </w:r>
    </w:p>
    <w:p w:rsidR="009226B3" w:rsidRDefault="009226B3" w:rsidP="009226B3">
      <w:pPr>
        <w:widowControl w:val="0"/>
        <w:autoSpaceDE w:val="0"/>
        <w:autoSpaceDN w:val="0"/>
        <w:adjustRightInd w:val="0"/>
        <w:spacing w:after="220"/>
        <w:jc w:val="both"/>
        <w:rPr>
          <w:rFonts w:eastAsiaTheme="minorHAnsi"/>
          <w:sz w:val="24"/>
          <w:szCs w:val="24"/>
        </w:rPr>
      </w:pPr>
      <w:r w:rsidRPr="00F92D95">
        <w:rPr>
          <w:rFonts w:eastAsiaTheme="minorHAnsi"/>
          <w:sz w:val="24"/>
          <w:szCs w:val="24"/>
        </w:rPr>
        <w:t>If a peroxide forming chemical is older than its expiration date (table below) or is stored longer than the time limits, follow these procedures:</w:t>
      </w:r>
    </w:p>
    <w:p w:rsidR="009226B3" w:rsidRDefault="009226B3" w:rsidP="009226B3">
      <w:pPr>
        <w:widowControl w:val="0"/>
        <w:autoSpaceDE w:val="0"/>
        <w:autoSpaceDN w:val="0"/>
        <w:adjustRightInd w:val="0"/>
        <w:spacing w:after="220"/>
        <w:jc w:val="both"/>
        <w:rPr>
          <w:rFonts w:eastAsiaTheme="minorHAnsi"/>
          <w:sz w:val="24"/>
          <w:szCs w:val="24"/>
        </w:rPr>
      </w:pPr>
      <w:r>
        <w:rPr>
          <w:rFonts w:eastAsiaTheme="minorHAnsi"/>
          <w:sz w:val="24"/>
          <w:szCs w:val="24"/>
        </w:rPr>
        <w:t>Prior to moving the container, examine it.</w:t>
      </w:r>
    </w:p>
    <w:p w:rsidR="009226B3" w:rsidRDefault="009226B3" w:rsidP="009226B3">
      <w:pPr>
        <w:pStyle w:val="ListParagraph"/>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crystals are visible in the chemical solution or if crystals are on or in the container. Closely examine the container near the cap for the presence of crystals. Some peroxide crystals in solution have a very fine, spun glass-wool appearance.</w:t>
      </w:r>
      <w:r>
        <w:rPr>
          <w:rFonts w:ascii="MS Mincho" w:eastAsia="MS Mincho" w:hAnsi="MS Mincho" w:cs="MS Mincho" w:hint="eastAsia"/>
          <w:sz w:val="24"/>
          <w:szCs w:val="24"/>
        </w:rPr>
        <w:t>  </w:t>
      </w:r>
      <w:r>
        <w:rPr>
          <w:rFonts w:eastAsiaTheme="minorHAnsi"/>
          <w:b/>
          <w:bCs/>
          <w:sz w:val="24"/>
          <w:szCs w:val="24"/>
        </w:rPr>
        <w:t>Do not test these compounds for peroxides; let OEHS personnel manage these containers.</w:t>
      </w:r>
      <w:r>
        <w:rPr>
          <w:rFonts w:ascii="MS Mincho" w:eastAsia="MS Mincho" w:hAnsi="MS Mincho" w:cs="MS Mincho" w:hint="eastAsia"/>
          <w:sz w:val="24"/>
          <w:szCs w:val="24"/>
        </w:rPr>
        <w:t> </w:t>
      </w:r>
    </w:p>
    <w:p w:rsidR="009226B3" w:rsidRDefault="009226B3" w:rsidP="009226B3">
      <w:pPr>
        <w:pStyle w:val="ListParagraph"/>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the container has a metal screw cap. Do not open the container. Metal capped containers</w:t>
      </w:r>
    </w:p>
    <w:p w:rsidR="009226B3" w:rsidRDefault="009226B3" w:rsidP="009226B3">
      <w:pPr>
        <w:widowControl w:val="0"/>
        <w:numPr>
          <w:ilvl w:val="0"/>
          <w:numId w:val="4"/>
        </w:numPr>
        <w:tabs>
          <w:tab w:val="left" w:pos="220"/>
          <w:tab w:val="left" w:pos="720"/>
        </w:tabs>
        <w:autoSpaceDE w:val="0"/>
        <w:autoSpaceDN w:val="0"/>
        <w:adjustRightInd w:val="0"/>
        <w:jc w:val="both"/>
        <w:rPr>
          <w:rFonts w:eastAsiaTheme="minorHAnsi"/>
          <w:sz w:val="24"/>
          <w:szCs w:val="24"/>
        </w:rPr>
      </w:pPr>
      <w:r>
        <w:rPr>
          <w:rFonts w:eastAsiaTheme="minorHAnsi"/>
          <w:sz w:val="24"/>
          <w:szCs w:val="24"/>
        </w:rPr>
        <w:t>Call OEHS if the container has been stored longer than two years. Leave the container where it was found until Chemical Waste Program staff arrive:</w:t>
      </w:r>
    </w:p>
    <w:p w:rsidR="009226B3" w:rsidRDefault="009226B3" w:rsidP="009226B3">
      <w:pPr>
        <w:pStyle w:val="ListParagraph"/>
        <w:widowControl w:val="0"/>
        <w:numPr>
          <w:ilvl w:val="0"/>
          <w:numId w:val="4"/>
        </w:numPr>
        <w:autoSpaceDE w:val="0"/>
        <w:autoSpaceDN w:val="0"/>
        <w:adjustRightInd w:val="0"/>
        <w:spacing w:after="220"/>
        <w:jc w:val="both"/>
        <w:rPr>
          <w:rFonts w:eastAsiaTheme="minorHAnsi"/>
          <w:sz w:val="24"/>
          <w:szCs w:val="24"/>
        </w:rPr>
      </w:pPr>
      <w:r>
        <w:rPr>
          <w:rFonts w:eastAsiaTheme="minorHAnsi"/>
          <w:sz w:val="24"/>
          <w:szCs w:val="24"/>
        </w:rPr>
        <w:t>If the container was picked up, gently put it down in a safe place. Do not shake the container or place it near sources of heat or ignition. Tape-off the area containing the potentially shock sensitive compound and warn laboratory personnel of its presence.</w:t>
      </w:r>
    </w:p>
    <w:p w:rsidR="009226B3" w:rsidRDefault="009226B3" w:rsidP="009226B3">
      <w:pPr>
        <w:widowControl w:val="0"/>
        <w:autoSpaceDE w:val="0"/>
        <w:autoSpaceDN w:val="0"/>
        <w:adjustRightInd w:val="0"/>
        <w:rPr>
          <w:rFonts w:eastAsiaTheme="minorHAnsi"/>
          <w:b/>
          <w:bCs/>
          <w:sz w:val="24"/>
          <w:szCs w:val="24"/>
        </w:rPr>
      </w:pPr>
      <w:r>
        <w:rPr>
          <w:rFonts w:eastAsiaTheme="minorHAnsi"/>
          <w:b/>
          <w:bCs/>
          <w:sz w:val="24"/>
          <w:szCs w:val="24"/>
        </w:rPr>
        <w:t>Warning Label</w:t>
      </w:r>
    </w:p>
    <w:p w:rsidR="009226B3" w:rsidRDefault="002007C6" w:rsidP="009226B3">
      <w:pPr>
        <w:widowControl w:val="0"/>
        <w:autoSpaceDE w:val="0"/>
        <w:autoSpaceDN w:val="0"/>
        <w:adjustRightInd w:val="0"/>
        <w:spacing w:after="220"/>
        <w:rPr>
          <w:rFonts w:eastAsiaTheme="minorHAnsi"/>
          <w:sz w:val="24"/>
          <w:szCs w:val="24"/>
        </w:rPr>
      </w:pPr>
      <w:r>
        <w:rPr>
          <w:rFonts w:eastAsiaTheme="minorHAnsi"/>
          <w:noProof/>
          <w:sz w:val="24"/>
          <w:szCs w:val="24"/>
        </w:rPr>
        <w:pict>
          <v:shapetype id="_x0000_t202" coordsize="21600,21600" o:spt="202" path="m,l,21600r21600,l21600,xe">
            <v:stroke joinstyle="miter"/>
            <v:path gradientshapeok="t" o:connecttype="rect"/>
          </v:shapetype>
          <v:shape id="_x0000_s1045" type="#_x0000_t202" style="position:absolute;margin-left:15pt;margin-top:28.8pt;width:442.65pt;height:55.7pt;z-index:251658240">
            <v:fill opacity="0"/>
            <v:textbox>
              <w:txbxContent>
                <w:p w:rsidR="009226B3" w:rsidRDefault="009226B3"/>
              </w:txbxContent>
            </v:textbox>
          </v:shape>
        </w:pict>
      </w:r>
      <w:r w:rsidR="009226B3">
        <w:rPr>
          <w:rFonts w:eastAsiaTheme="minorHAnsi"/>
          <w:sz w:val="24"/>
          <w:szCs w:val="24"/>
        </w:rPr>
        <w:t xml:space="preserve">A warning label should be affixed to all containers of </w:t>
      </w:r>
      <w:proofErr w:type="spellStart"/>
      <w:r w:rsidR="009226B3">
        <w:rPr>
          <w:rFonts w:eastAsiaTheme="minorHAnsi"/>
          <w:sz w:val="24"/>
          <w:szCs w:val="24"/>
        </w:rPr>
        <w:t>peroxidizable</w:t>
      </w:r>
      <w:proofErr w:type="spellEnd"/>
      <w:r w:rsidR="009226B3">
        <w:rPr>
          <w:rFonts w:eastAsiaTheme="minorHAnsi"/>
          <w:sz w:val="24"/>
          <w:szCs w:val="24"/>
        </w:rPr>
        <w:t xml:space="preserve"> compounds, as illustrated below, to indicate the date of receipt and the date the container was first opened.</w:t>
      </w:r>
    </w:p>
    <w:p w:rsidR="009226B3" w:rsidRDefault="009226B3" w:rsidP="009226B3">
      <w:pPr>
        <w:widowControl w:val="0"/>
        <w:autoSpaceDE w:val="0"/>
        <w:autoSpaceDN w:val="0"/>
        <w:adjustRightInd w:val="0"/>
        <w:spacing w:after="220"/>
        <w:jc w:val="center"/>
        <w:rPr>
          <w:rFonts w:eastAsiaTheme="minorHAnsi"/>
          <w:sz w:val="24"/>
          <w:szCs w:val="24"/>
        </w:rPr>
      </w:pPr>
      <w:r w:rsidRPr="00F92D95">
        <w:rPr>
          <w:rFonts w:eastAsiaTheme="minorHAnsi"/>
          <w:sz w:val="24"/>
          <w:szCs w:val="24"/>
        </w:rPr>
        <w:t>PEROXIDIZABLE COMPOUND</w:t>
      </w:r>
      <w:r w:rsidRPr="00F92D95">
        <w:rPr>
          <w:rFonts w:ascii="MS Mincho" w:eastAsia="MS Mincho" w:hAnsi="MS Mincho" w:cs="MS Mincho" w:hint="eastAsia"/>
          <w:sz w:val="24"/>
          <w:szCs w:val="24"/>
        </w:rPr>
        <w:t> </w:t>
      </w:r>
      <w:r w:rsidRPr="00F92D95">
        <w:rPr>
          <w:rFonts w:eastAsiaTheme="minorHAnsi"/>
          <w:sz w:val="24"/>
          <w:szCs w:val="24"/>
        </w:rPr>
        <w:t>Date Received __________</w:t>
      </w:r>
      <w:r w:rsidRPr="00F92D95">
        <w:rPr>
          <w:rFonts w:ascii="MS Mincho" w:eastAsia="MS Mincho" w:hAnsi="MS Mincho" w:cs="MS Mincho" w:hint="eastAsia"/>
          <w:sz w:val="24"/>
          <w:szCs w:val="24"/>
        </w:rPr>
        <w:t> </w:t>
      </w:r>
      <w:r w:rsidRPr="00F92D95">
        <w:rPr>
          <w:rFonts w:eastAsiaTheme="minorHAnsi"/>
          <w:sz w:val="24"/>
          <w:szCs w:val="24"/>
        </w:rPr>
        <w:t>Date Opened ___________</w:t>
      </w:r>
      <w:r w:rsidRPr="00F92D95">
        <w:rPr>
          <w:rFonts w:ascii="MS Mincho" w:eastAsia="MS Mincho" w:hAnsi="MS Mincho" w:cs="MS Mincho" w:hint="eastAsia"/>
          <w:sz w:val="24"/>
          <w:szCs w:val="24"/>
        </w:rPr>
        <w:t> </w:t>
      </w:r>
      <w:r w:rsidRPr="00F92D95">
        <w:rPr>
          <w:rFonts w:eastAsiaTheme="minorHAnsi"/>
          <w:sz w:val="24"/>
          <w:szCs w:val="24"/>
        </w:rPr>
        <w:t>Discard or test within 1 / 3 / 6 months after opening</w:t>
      </w:r>
      <w:proofErr w:type="gramStart"/>
      <w:r w:rsidRPr="00F92D95">
        <w:rPr>
          <w:rFonts w:ascii="MS Mincho" w:eastAsia="MS Mincho" w:hAnsi="MS Mincho" w:cs="MS Mincho" w:hint="eastAsia"/>
          <w:sz w:val="24"/>
          <w:szCs w:val="24"/>
        </w:rPr>
        <w:t> </w:t>
      </w:r>
      <w:r w:rsidRPr="00F92D95">
        <w:rPr>
          <w:rFonts w:eastAsiaTheme="minorHAnsi"/>
          <w:sz w:val="24"/>
          <w:szCs w:val="24"/>
        </w:rPr>
        <w:t>(</w:t>
      </w:r>
      <w:proofErr w:type="gramEnd"/>
      <w:r w:rsidRPr="00F92D95">
        <w:rPr>
          <w:rFonts w:eastAsiaTheme="minorHAnsi"/>
          <w:sz w:val="24"/>
          <w:szCs w:val="24"/>
        </w:rPr>
        <w:t>circle one)</w:t>
      </w:r>
    </w:p>
    <w:p w:rsidR="009226B3" w:rsidRDefault="009226B3" w:rsidP="009226B3">
      <w:pPr>
        <w:widowControl w:val="0"/>
        <w:autoSpaceDE w:val="0"/>
        <w:autoSpaceDN w:val="0"/>
        <w:adjustRightInd w:val="0"/>
        <w:rPr>
          <w:rFonts w:eastAsiaTheme="minorHAnsi"/>
          <w:b/>
          <w:bCs/>
          <w:sz w:val="24"/>
          <w:szCs w:val="24"/>
        </w:rPr>
      </w:pPr>
    </w:p>
    <w:p w:rsidR="009226B3" w:rsidRDefault="009226B3" w:rsidP="009226B3">
      <w:pPr>
        <w:widowControl w:val="0"/>
        <w:autoSpaceDE w:val="0"/>
        <w:autoSpaceDN w:val="0"/>
        <w:adjustRightInd w:val="0"/>
        <w:rPr>
          <w:rFonts w:eastAsiaTheme="minorHAnsi"/>
          <w:b/>
          <w:bCs/>
          <w:sz w:val="24"/>
          <w:szCs w:val="24"/>
        </w:rPr>
      </w:pPr>
      <w:r>
        <w:rPr>
          <w:rFonts w:eastAsiaTheme="minorHAnsi"/>
          <w:b/>
          <w:bCs/>
          <w:sz w:val="24"/>
          <w:szCs w:val="24"/>
        </w:rPr>
        <w:lastRenderedPageBreak/>
        <w:t>Emergency Disposal</w:t>
      </w:r>
    </w:p>
    <w:p w:rsidR="009226B3" w:rsidRDefault="009226B3" w:rsidP="00953BFB">
      <w:pPr>
        <w:widowControl w:val="0"/>
        <w:autoSpaceDE w:val="0"/>
        <w:autoSpaceDN w:val="0"/>
        <w:adjustRightInd w:val="0"/>
        <w:spacing w:after="220"/>
        <w:rPr>
          <w:rFonts w:eastAsiaTheme="minorHAnsi"/>
          <w:sz w:val="24"/>
          <w:szCs w:val="24"/>
        </w:rPr>
      </w:pPr>
      <w:r>
        <w:rPr>
          <w:rFonts w:eastAsiaTheme="minorHAnsi"/>
          <w:sz w:val="24"/>
          <w:szCs w:val="24"/>
        </w:rPr>
        <w:t xml:space="preserve">The OEHS will </w:t>
      </w:r>
      <w:r w:rsidRPr="00F92D95">
        <w:rPr>
          <w:rFonts w:eastAsiaTheme="minorHAnsi"/>
          <w:sz w:val="24"/>
          <w:szCs w:val="24"/>
        </w:rPr>
        <w:t>contact outside company remove any containers of peroxide forming chemicals if:</w:t>
      </w:r>
    </w:p>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r>
        <w:rPr>
          <w:rFonts w:eastAsiaTheme="minorHAnsi"/>
          <w:sz w:val="24"/>
          <w:szCs w:val="24"/>
        </w:rPr>
        <w:t>the container has crystals in or on it,</w:t>
      </w:r>
    </w:p>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r>
        <w:rPr>
          <w:rFonts w:eastAsiaTheme="minorHAnsi"/>
          <w:sz w:val="24"/>
          <w:szCs w:val="24"/>
        </w:rPr>
        <w:t>the container is metal with a metal cap, or</w:t>
      </w:r>
    </w:p>
    <w:tbl>
      <w:tblPr>
        <w:tblpPr w:leftFromText="180" w:rightFromText="180" w:vertAnchor="text" w:horzAnchor="margin" w:tblpXSpec="center" w:tblpY="1984"/>
        <w:tblW w:w="0" w:type="auto"/>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4040"/>
        <w:gridCol w:w="4040"/>
      </w:tblGrid>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Severe Peroxide Hazard on Storage with Exposure to Air</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within 3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Diisopropyl</w:t>
            </w:r>
            <w:proofErr w:type="spellEnd"/>
            <w:r>
              <w:rPr>
                <w:rFonts w:eastAsiaTheme="minorHAnsi"/>
                <w:sz w:val="24"/>
                <w:szCs w:val="24"/>
              </w:rPr>
              <w:t xml:space="preserve"> ether</w:t>
            </w:r>
          </w:p>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(isopropyl ether)</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Potassium metal</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Divinylacetylene</w:t>
            </w:r>
            <w:proofErr w:type="spellEnd"/>
            <w:r>
              <w:rPr>
                <w:rFonts w:eastAsiaTheme="minorHAnsi"/>
                <w:sz w:val="24"/>
                <w:szCs w:val="24"/>
              </w:rPr>
              <w:t xml:space="preserve"> (DVA)</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Sodium amide (</w:t>
            </w:r>
            <w:proofErr w:type="spellStart"/>
            <w:r>
              <w:rPr>
                <w:rFonts w:eastAsiaTheme="minorHAnsi"/>
                <w:sz w:val="24"/>
                <w:szCs w:val="24"/>
              </w:rPr>
              <w:t>sodamide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Potassium amide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Vinylidene</w:t>
            </w:r>
            <w:proofErr w:type="spellEnd"/>
            <w:r>
              <w:rPr>
                <w:rFonts w:eastAsiaTheme="minorHAnsi"/>
                <w:sz w:val="24"/>
                <w:szCs w:val="24"/>
              </w:rPr>
              <w:t xml:space="preserve"> chloride (1,1 </w:t>
            </w:r>
            <w:proofErr w:type="spellStart"/>
            <w:r>
              <w:rPr>
                <w:rFonts w:eastAsiaTheme="minorHAnsi"/>
                <w:sz w:val="24"/>
                <w:szCs w:val="24"/>
              </w:rPr>
              <w:t>dichloroethylene</w:t>
            </w:r>
            <w:proofErr w:type="spellEnd"/>
            <w:r>
              <w:rPr>
                <w:rFonts w:eastAsiaTheme="minorHAnsi"/>
                <w:sz w:val="24"/>
                <w:szCs w:val="24"/>
              </w:rPr>
              <w:t>)</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Peroxide Hazard on Concentration</w:t>
            </w:r>
          </w:p>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Do Not Distill or Evaporate Without First Testing for the Presence of Peroxides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or test for peroxides after 6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 xml:space="preserve">Acetaldehyde diethyl </w:t>
            </w:r>
            <w:proofErr w:type="spellStart"/>
            <w:r>
              <w:rPr>
                <w:rFonts w:eastAsiaTheme="minorHAnsi"/>
                <w:sz w:val="24"/>
                <w:szCs w:val="24"/>
              </w:rPr>
              <w:t>acetal</w:t>
            </w:r>
            <w:proofErr w:type="spellEnd"/>
            <w:r>
              <w:rPr>
                <w:rFonts w:eastAsiaTheme="minorHAnsi"/>
                <w:sz w:val="24"/>
                <w:szCs w:val="24"/>
              </w:rPr>
              <w:t xml:space="preserve"> (</w:t>
            </w:r>
            <w:proofErr w:type="spellStart"/>
            <w:r>
              <w:rPr>
                <w:rFonts w:eastAsiaTheme="minorHAnsi"/>
                <w:sz w:val="24"/>
                <w:szCs w:val="24"/>
              </w:rPr>
              <w:t>acetal</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dimethyl ether (</w:t>
            </w:r>
            <w:proofErr w:type="spellStart"/>
            <w:r>
              <w:rPr>
                <w:rFonts w:eastAsiaTheme="minorHAnsi"/>
                <w:sz w:val="24"/>
                <w:szCs w:val="24"/>
              </w:rPr>
              <w:t>glyme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Cumene</w:t>
            </w:r>
            <w:proofErr w:type="spellEnd"/>
            <w:r>
              <w:rPr>
                <w:rFonts w:eastAsiaTheme="minorHAnsi"/>
                <w:sz w:val="24"/>
                <w:szCs w:val="24"/>
              </w:rPr>
              <w:t xml:space="preserve"> (</w:t>
            </w:r>
            <w:proofErr w:type="spellStart"/>
            <w:r>
              <w:rPr>
                <w:rFonts w:eastAsiaTheme="minorHAnsi"/>
                <w:sz w:val="24"/>
                <w:szCs w:val="24"/>
              </w:rPr>
              <w:t>isopropylbenzene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ether acetates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Cyclohexene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Ethylene glycol ether acetates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Cyclopentene</w:t>
            </w:r>
            <w:proofErr w:type="spellEnd"/>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Furan</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Decalin</w:t>
            </w:r>
            <w:proofErr w:type="spellEnd"/>
            <w:r>
              <w:rPr>
                <w:rFonts w:eastAsiaTheme="minorHAnsi"/>
                <w:sz w:val="24"/>
                <w:szCs w:val="24"/>
              </w:rPr>
              <w:t xml:space="preserve"> (</w:t>
            </w:r>
            <w:proofErr w:type="spellStart"/>
            <w:r>
              <w:rPr>
                <w:rFonts w:eastAsiaTheme="minorHAnsi"/>
                <w:sz w:val="24"/>
                <w:szCs w:val="24"/>
              </w:rPr>
              <w:t>decahydronaphthalene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Methylacetylene</w:t>
            </w:r>
            <w:proofErr w:type="spellEnd"/>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Diacetylene</w:t>
            </w:r>
            <w:proofErr w:type="spellEnd"/>
            <w:r>
              <w:rPr>
                <w:rFonts w:eastAsiaTheme="minorHAnsi"/>
                <w:sz w:val="24"/>
                <w:szCs w:val="24"/>
              </w:rPr>
              <w:t xml:space="preserve"> (butadiene)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Methylcyclopentane</w:t>
            </w:r>
            <w:proofErr w:type="spellEnd"/>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Dicyclopentadiene</w:t>
            </w:r>
            <w:proofErr w:type="spellEnd"/>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Methyl isobutyl ketone</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Diethyl ether (ether)</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Tetrahydrofuran</w:t>
            </w:r>
            <w:proofErr w:type="spellEnd"/>
            <w:r>
              <w:rPr>
                <w:rFonts w:eastAsiaTheme="minorHAnsi"/>
                <w:sz w:val="24"/>
                <w:szCs w:val="24"/>
              </w:rPr>
              <w:t xml:space="preserve"> (THF)</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Diethylene</w:t>
            </w:r>
            <w:proofErr w:type="spellEnd"/>
            <w:r>
              <w:rPr>
                <w:rFonts w:eastAsiaTheme="minorHAnsi"/>
                <w:sz w:val="24"/>
                <w:szCs w:val="24"/>
              </w:rPr>
              <w:t xml:space="preserve"> glycol dimethyl ether (</w:t>
            </w:r>
            <w:proofErr w:type="spellStart"/>
            <w:r>
              <w:rPr>
                <w:rFonts w:eastAsiaTheme="minorHAnsi"/>
                <w:sz w:val="24"/>
                <w:szCs w:val="24"/>
              </w:rPr>
              <w:t>diglyme</w:t>
            </w:r>
            <w:proofErr w:type="spellEnd"/>
            <w:r>
              <w:rPr>
                <w:rFonts w:eastAsiaTheme="minorHAnsi"/>
                <w:sz w:val="24"/>
                <w:szCs w:val="24"/>
              </w:rPr>
              <w:t>)</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Tetralin</w:t>
            </w:r>
            <w:proofErr w:type="spellEnd"/>
            <w:r>
              <w:rPr>
                <w:rFonts w:eastAsiaTheme="minorHAnsi"/>
                <w:sz w:val="24"/>
                <w:szCs w:val="24"/>
              </w:rPr>
              <w:t xml:space="preserve"> (</w:t>
            </w:r>
            <w:proofErr w:type="spellStart"/>
            <w:r>
              <w:rPr>
                <w:rFonts w:eastAsiaTheme="minorHAnsi"/>
                <w:sz w:val="24"/>
                <w:szCs w:val="24"/>
              </w:rPr>
              <w:t>tetrahydronaphthalene</w:t>
            </w:r>
            <w:proofErr w:type="spellEnd"/>
            <w:r>
              <w:rPr>
                <w:rFonts w:eastAsiaTheme="minorHAnsi"/>
                <w:sz w:val="24"/>
                <w:szCs w:val="24"/>
              </w:rPr>
              <w:t>)</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vAlign w:val="center"/>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Dioxane</w:t>
            </w:r>
            <w:proofErr w:type="spellEnd"/>
          </w:p>
        </w:tc>
        <w:tc>
          <w:tcPr>
            <w:tcW w:w="4040" w:type="dxa"/>
            <w:tcBorders>
              <w:top w:val="single" w:sz="8" w:space="0" w:color="6D6D6D"/>
              <w:left w:val="single" w:sz="8" w:space="0" w:color="6D6D6D"/>
              <w:bottom w:val="single" w:sz="8" w:space="0" w:color="6D6D6D"/>
              <w:right w:val="single" w:sz="8" w:space="0" w:color="6D6D6D"/>
            </w:tcBorders>
            <w:vAlign w:val="center"/>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ethers</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b/>
                <w:bCs/>
                <w:sz w:val="24"/>
                <w:szCs w:val="24"/>
              </w:rPr>
              <w:t>Hazard of Rapid Polymerization Initiated by Internally Formed Peroxides</w:t>
            </w:r>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Normal Liquids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or test for peroxides after 6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Chloroprene (2-chloro-1,3-butadiene)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acetate</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Styrene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Vinylpyridine</w:t>
            </w:r>
            <w:proofErr w:type="spellEnd"/>
          </w:p>
        </w:tc>
      </w:tr>
      <w:tr w:rsidR="00953BFB" w:rsidTr="00953BFB">
        <w:tc>
          <w:tcPr>
            <w:tcW w:w="8080" w:type="dxa"/>
            <w:gridSpan w:val="2"/>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jc w:val="center"/>
              <w:rPr>
                <w:rFonts w:eastAsiaTheme="minorHAnsi"/>
                <w:sz w:val="24"/>
                <w:szCs w:val="24"/>
              </w:rPr>
            </w:pPr>
            <w:r>
              <w:rPr>
                <w:rFonts w:eastAsiaTheme="minorHAnsi"/>
                <w:sz w:val="24"/>
                <w:szCs w:val="24"/>
              </w:rPr>
              <w:t>Normal Gases</w:t>
            </w:r>
          </w:p>
          <w:p w:rsidR="00953BFB" w:rsidRDefault="00953BFB" w:rsidP="00953BFB">
            <w:pPr>
              <w:widowControl w:val="0"/>
              <w:autoSpaceDE w:val="0"/>
              <w:autoSpaceDN w:val="0"/>
              <w:adjustRightInd w:val="0"/>
              <w:jc w:val="center"/>
              <w:rPr>
                <w:rFonts w:eastAsiaTheme="minorHAnsi"/>
                <w:sz w:val="24"/>
                <w:szCs w:val="24"/>
              </w:rPr>
            </w:pPr>
            <w:r>
              <w:rPr>
                <w:rFonts w:eastAsiaTheme="minorHAnsi"/>
                <w:i/>
                <w:iCs/>
                <w:sz w:val="24"/>
                <w:szCs w:val="24"/>
              </w:rPr>
              <w:t>Discard after 12 months</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Butadiene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Vinylacetylene</w:t>
            </w:r>
            <w:proofErr w:type="spellEnd"/>
            <w:r>
              <w:rPr>
                <w:rFonts w:eastAsiaTheme="minorHAnsi"/>
                <w:sz w:val="24"/>
                <w:szCs w:val="24"/>
              </w:rPr>
              <w:t xml:space="preserve"> (MVA)</w:t>
            </w:r>
          </w:p>
        </w:tc>
      </w:tr>
      <w:tr w:rsidR="00953BFB" w:rsidTr="00953BFB">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proofErr w:type="spellStart"/>
            <w:r>
              <w:rPr>
                <w:rFonts w:eastAsiaTheme="minorHAnsi"/>
                <w:sz w:val="24"/>
                <w:szCs w:val="24"/>
              </w:rPr>
              <w:t>Tetrafluoroethylene</w:t>
            </w:r>
            <w:proofErr w:type="spellEnd"/>
            <w:r>
              <w:rPr>
                <w:rFonts w:eastAsiaTheme="minorHAnsi"/>
                <w:sz w:val="24"/>
                <w:szCs w:val="24"/>
              </w:rPr>
              <w:t xml:space="preserve"> (TFE)</w:t>
            </w:r>
          </w:p>
        </w:tc>
        <w:tc>
          <w:tcPr>
            <w:tcW w:w="4040" w:type="dxa"/>
            <w:tcBorders>
              <w:top w:val="single" w:sz="8" w:space="0" w:color="6D6D6D"/>
              <w:left w:val="single" w:sz="8" w:space="0" w:color="6D6D6D"/>
              <w:bottom w:val="single" w:sz="8" w:space="0" w:color="6D6D6D"/>
              <w:right w:val="single" w:sz="8" w:space="0" w:color="6D6D6D"/>
            </w:tcBorders>
            <w:hideMark/>
          </w:tcPr>
          <w:p w:rsidR="00953BFB" w:rsidRDefault="00953BFB" w:rsidP="00953BFB">
            <w:pPr>
              <w:widowControl w:val="0"/>
              <w:autoSpaceDE w:val="0"/>
              <w:autoSpaceDN w:val="0"/>
              <w:adjustRightInd w:val="0"/>
              <w:rPr>
                <w:rFonts w:eastAsiaTheme="minorHAnsi"/>
                <w:sz w:val="24"/>
                <w:szCs w:val="24"/>
              </w:rPr>
            </w:pPr>
            <w:r>
              <w:rPr>
                <w:rFonts w:eastAsiaTheme="minorHAnsi"/>
                <w:sz w:val="24"/>
                <w:szCs w:val="24"/>
              </w:rPr>
              <w:t>Vinyl chloride</w:t>
            </w:r>
          </w:p>
        </w:tc>
      </w:tr>
    </w:tbl>
    <w:p w:rsidR="009226B3" w:rsidRDefault="009226B3" w:rsidP="00953BFB">
      <w:pPr>
        <w:pStyle w:val="ListParagraph"/>
        <w:widowControl w:val="0"/>
        <w:numPr>
          <w:ilvl w:val="0"/>
          <w:numId w:val="5"/>
        </w:numPr>
        <w:tabs>
          <w:tab w:val="left" w:pos="220"/>
          <w:tab w:val="left" w:pos="720"/>
        </w:tabs>
        <w:autoSpaceDE w:val="0"/>
        <w:autoSpaceDN w:val="0"/>
        <w:adjustRightInd w:val="0"/>
        <w:contextualSpacing w:val="0"/>
        <w:rPr>
          <w:rFonts w:eastAsiaTheme="minorHAnsi"/>
          <w:sz w:val="24"/>
          <w:szCs w:val="24"/>
        </w:rPr>
      </w:pPr>
      <w:proofErr w:type="gramStart"/>
      <w:r>
        <w:rPr>
          <w:rFonts w:eastAsiaTheme="minorHAnsi"/>
          <w:sz w:val="24"/>
          <w:szCs w:val="24"/>
        </w:rPr>
        <w:t>the</w:t>
      </w:r>
      <w:proofErr w:type="gramEnd"/>
      <w:r>
        <w:rPr>
          <w:rFonts w:eastAsiaTheme="minorHAnsi"/>
          <w:sz w:val="24"/>
          <w:szCs w:val="24"/>
        </w:rPr>
        <w:t xml:space="preserve"> chemical is suspected to be shock-sensitive due to its age.</w:t>
      </w:r>
    </w:p>
    <w:p w:rsidR="00D667A1" w:rsidRDefault="009226B3" w:rsidP="00953BFB">
      <w:pPr>
        <w:widowControl w:val="0"/>
        <w:autoSpaceDE w:val="0"/>
        <w:autoSpaceDN w:val="0"/>
        <w:adjustRightInd w:val="0"/>
        <w:spacing w:after="220"/>
        <w:ind w:left="630" w:hanging="630"/>
        <w:rPr>
          <w:rFonts w:eastAsiaTheme="minorHAnsi"/>
          <w:b/>
        </w:rPr>
      </w:pPr>
      <w:r>
        <w:rPr>
          <w:rFonts w:eastAsiaTheme="minorHAnsi"/>
          <w:sz w:val="24"/>
          <w:szCs w:val="24"/>
        </w:rPr>
        <w:t>You will need to be on-site during these hours to unlock doors and show the personnel where the container is located. An OEHS staff person will be on-site to coordinate activities.</w:t>
      </w:r>
      <w:r w:rsidR="00953BFB">
        <w:rPr>
          <w:rFonts w:eastAsiaTheme="minorHAnsi"/>
          <w:sz w:val="24"/>
          <w:szCs w:val="24"/>
        </w:rPr>
        <w:br/>
      </w:r>
    </w:p>
    <w:p w:rsidR="00953BFB" w:rsidRDefault="00953BFB" w:rsidP="00953BFB">
      <w:pPr>
        <w:widowControl w:val="0"/>
        <w:autoSpaceDE w:val="0"/>
        <w:autoSpaceDN w:val="0"/>
        <w:adjustRightInd w:val="0"/>
        <w:spacing w:after="220"/>
        <w:ind w:left="630"/>
        <w:rPr>
          <w:rFonts w:eastAsiaTheme="minorHAnsi"/>
          <w:b/>
        </w:rPr>
      </w:pPr>
      <w:r>
        <w:rPr>
          <w:rFonts w:eastAsiaTheme="minorHAnsi"/>
          <w:b/>
        </w:rPr>
        <w:t>Table of Common Peroxide Forming Chemicals</w:t>
      </w:r>
    </w:p>
    <w:p w:rsidR="00953BFB" w:rsidRPr="00953BFB" w:rsidRDefault="00953BFB" w:rsidP="00953BFB">
      <w:pPr>
        <w:widowControl w:val="0"/>
        <w:autoSpaceDE w:val="0"/>
        <w:autoSpaceDN w:val="0"/>
        <w:adjustRightInd w:val="0"/>
        <w:spacing w:after="220"/>
        <w:ind w:left="630"/>
        <w:rPr>
          <w:rFonts w:eastAsiaTheme="minorHAnsi"/>
          <w:b/>
        </w:rPr>
      </w:pPr>
    </w:p>
    <w:sectPr w:rsidR="00953BFB" w:rsidRPr="00953BFB" w:rsidSect="00953BFB">
      <w:headerReference w:type="default" r:id="rId10"/>
      <w:footerReference w:type="default" r:id="rId11"/>
      <w:footerReference w:type="first" r:id="rId12"/>
      <w:pgSz w:w="12240" w:h="15840"/>
      <w:pgMar w:top="940" w:right="1500" w:bottom="54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C6" w:rsidRDefault="002007C6">
      <w:r>
        <w:separator/>
      </w:r>
    </w:p>
  </w:endnote>
  <w:endnote w:type="continuationSeparator" w:id="0">
    <w:p w:rsidR="002007C6" w:rsidRDefault="0020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953BFB">
      <w:tc>
        <w:tcPr>
          <w:tcW w:w="4500" w:type="pct"/>
          <w:tcBorders>
            <w:top w:val="single" w:sz="4" w:space="0" w:color="000000" w:themeColor="text1"/>
          </w:tcBorders>
        </w:tcPr>
        <w:p w:rsidR="00716AEE" w:rsidRPr="00716AEE" w:rsidRDefault="002007C6" w:rsidP="009226B3">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t>The University of Alabama in</w:t>
              </w:r>
            </w:sdtContent>
          </w:sdt>
          <w:r w:rsidR="00716AEE" w:rsidRPr="00716AEE">
            <w:t xml:space="preserve"> Huntsville| </w:t>
          </w:r>
          <w:r w:rsidR="009226B3">
            <w:t>Lab Safety Short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rPr>
          </w:pPr>
          <w:r w:rsidRPr="00716AEE">
            <w:fldChar w:fldCharType="begin"/>
          </w:r>
          <w:r w:rsidRPr="00716AEE">
            <w:instrText xml:space="preserve"> PAGE   \* MERGEFORMAT </w:instrText>
          </w:r>
          <w:r w:rsidRPr="00716AEE">
            <w:fldChar w:fldCharType="separate"/>
          </w:r>
          <w:r w:rsidR="00295197" w:rsidRPr="00295197">
            <w:rPr>
              <w:noProof/>
              <w:color w:val="FFFFFF" w:themeColor="background1"/>
            </w:rPr>
            <w:t>1</w:t>
          </w:r>
          <w:r w:rsidRPr="00716AEE">
            <w:rPr>
              <w:noProof/>
              <w:color w:val="FFFFFF" w:themeColor="background1"/>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C6" w:rsidRDefault="002007C6">
      <w:r>
        <w:separator/>
      </w:r>
    </w:p>
  </w:footnote>
  <w:footnote w:type="continuationSeparator" w:id="0">
    <w:p w:rsidR="002007C6" w:rsidRDefault="00200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2007C6" w:rsidP="009226B3">
          <w:pPr>
            <w:pStyle w:val="Header"/>
            <w:jc w:val="right"/>
            <w:rPr>
              <w:rFonts w:eastAsiaTheme="majorEastAsia" w:cstheme="majorBidi"/>
              <w:sz w:val="36"/>
              <w:szCs w:val="36"/>
            </w:rPr>
          </w:pPr>
          <w:sdt>
            <w:sdtPr>
              <w:rPr>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881E34">
                <w:rPr>
                  <w:sz w:val="36"/>
                  <w:szCs w:val="36"/>
                </w:rPr>
                <w:t>Peroxide Former Management</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1B6EA8" w:rsidP="009226B3">
              <w:pPr>
                <w:pStyle w:val="Header"/>
                <w:rPr>
                  <w:rFonts w:eastAsiaTheme="majorEastAsia" w:cstheme="majorBidi"/>
                  <w:b/>
                  <w:bCs/>
                  <w:color w:val="4F81BD" w:themeColor="accent1"/>
                  <w:sz w:val="36"/>
                  <w:szCs w:val="36"/>
                </w:rPr>
              </w:pPr>
              <w:r w:rsidRPr="001B6EA8">
                <w:rPr>
                  <w:rFonts w:eastAsiaTheme="majorEastAsia" w:cstheme="majorBidi"/>
                  <w:b/>
                  <w:bCs/>
                  <w:color w:val="4F81BD" w:themeColor="accent1"/>
                  <w:sz w:val="36"/>
                  <w:szCs w:val="36"/>
                </w:rPr>
                <w:t>201</w:t>
              </w:r>
              <w:r w:rsidR="009226B3">
                <w:rPr>
                  <w:rFonts w:eastAsiaTheme="majorEastAsia" w:cstheme="majorBidi"/>
                  <w:b/>
                  <w:bCs/>
                  <w:color w:val="4F81BD" w:themeColor="accent1"/>
                  <w:sz w:val="36"/>
                  <w:szCs w:val="36"/>
                </w:rPr>
                <w:t>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117F"/>
    <w:multiLevelType w:val="hybridMultilevel"/>
    <w:tmpl w:val="DB74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A10FF4"/>
    <w:multiLevelType w:val="hybridMultilevel"/>
    <w:tmpl w:val="5470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226B3"/>
    <w:rsid w:val="00004912"/>
    <w:rsid w:val="00044B26"/>
    <w:rsid w:val="00067B35"/>
    <w:rsid w:val="001507E1"/>
    <w:rsid w:val="001B6EA8"/>
    <w:rsid w:val="001D3D12"/>
    <w:rsid w:val="002007C6"/>
    <w:rsid w:val="00246EF1"/>
    <w:rsid w:val="00295197"/>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6D02E9"/>
    <w:rsid w:val="00716AEE"/>
    <w:rsid w:val="00760B7D"/>
    <w:rsid w:val="00774911"/>
    <w:rsid w:val="00795804"/>
    <w:rsid w:val="007D2273"/>
    <w:rsid w:val="008179CF"/>
    <w:rsid w:val="00872952"/>
    <w:rsid w:val="00881E34"/>
    <w:rsid w:val="00893A87"/>
    <w:rsid w:val="009226B3"/>
    <w:rsid w:val="00930702"/>
    <w:rsid w:val="00953BFB"/>
    <w:rsid w:val="009B1CB3"/>
    <w:rsid w:val="009F6E31"/>
    <w:rsid w:val="00A4356E"/>
    <w:rsid w:val="00A82DA8"/>
    <w:rsid w:val="00AB5106"/>
    <w:rsid w:val="00B01BE9"/>
    <w:rsid w:val="00B57E8A"/>
    <w:rsid w:val="00BA529F"/>
    <w:rsid w:val="00BC46B2"/>
    <w:rsid w:val="00BD0246"/>
    <w:rsid w:val="00C41EB4"/>
    <w:rsid w:val="00C92EC4"/>
    <w:rsid w:val="00CD4B6E"/>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B3"/>
    <w:pPr>
      <w:widowControl/>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nvironmental%20Health%20&amp;%20Safety\SOPS\Template%20Short%20Docs%20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61911-A9A3-47B0-8342-32CB2E42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Short Docs MP</Template>
  <TotalTime>25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Peroxide Former Management </vt:lpstr>
    </vt:vector>
  </TitlesOfParts>
  <Company>The University of Alabama in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Peroxide Former Management</dc:title>
  <dc:creator>pendletonm</dc:creator>
  <cp:lastModifiedBy>pendletonm</cp:lastModifiedBy>
  <cp:revision>3</cp:revision>
  <dcterms:created xsi:type="dcterms:W3CDTF">2014-02-10T17:19:00Z</dcterms:created>
  <dcterms:modified xsi:type="dcterms:W3CDTF">2014-02-10T22:00:00Z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